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bookmarkStart w:id="2" w:name="_GoBack"/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-953135</wp:posOffset>
            </wp:positionV>
            <wp:extent cx="7230745" cy="10105390"/>
            <wp:effectExtent l="0" t="0" r="8255" b="3810"/>
            <wp:wrapNone/>
            <wp:docPr id="2" name="图片 2" descr="01d20f7b835fee9d9287113de146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d20f7b835fee9d9287113de146dbe"/>
                    <pic:cNvPicPr>
                      <a:picLocks noChangeAspect="1"/>
                    </pic:cNvPicPr>
                  </pic:nvPicPr>
                  <pic:blipFill>
                    <a:blip r:embed="rId6"/>
                    <a:srcRect l="-101" r="101" b="6243"/>
                    <a:stretch>
                      <a:fillRect/>
                    </a:stretch>
                  </pic:blipFill>
                  <pic:spPr>
                    <a:xfrm>
                      <a:off x="0" y="0"/>
                      <a:ext cx="7230745" cy="1010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0066-2020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93"/>
        <w:gridCol w:w="121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西安国仪测控股份有限公司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10119025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陕西黄河集团有限公司计量室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2019.10.30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电磁流量计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S5M202567206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AXF015C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质量法水流量标准装置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=0.05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‰k=2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2020.4.18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L50E2502000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8F2B50-3L69/0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2020.4.18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441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YS-60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活塞式压力计0.005级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西安西自仪技术有限公司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2020.04.12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116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YS-600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活塞式压力计0.005级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西安西自仪技术有限公司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2020.04.12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90134086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35-50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陕西黄河集团有限公司计量室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2020.4.18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流量装置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IMC/SCSB-03001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DN50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U=0.5%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质量法水流量标准装置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=0.05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‰k=2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2020.4.18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中国航发南方工业有限公司计量实验室，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西安西自仪技术有限公司</w:t>
            </w:r>
            <w:r>
              <w:rPr>
                <w:rFonts w:hint="eastAsia"/>
                <w:szCs w:val="21"/>
                <w:lang w:val="en-US" w:eastAsia="zh-CN"/>
              </w:rPr>
              <w:t>，陕西黄河集团有限公司计量室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月   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5A7868"/>
    <w:rsid w:val="40925888"/>
    <w:rsid w:val="40E51F2A"/>
    <w:rsid w:val="59163A14"/>
    <w:rsid w:val="61847A46"/>
    <w:rsid w:val="64F01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4</TotalTime>
  <ScaleCrop>false</ScaleCrop>
  <LinksUpToDate>false</LinksUpToDate>
  <CharactersWithSpaces>341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2020-05-03T12:13:20Z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