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47-2021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疆隆威家具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230139960424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疆隆威家具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昌吉州昌吉市六工镇下六工村一片区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新疆昌吉州昌吉市六工镇下六工村一片区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教学家具、金属办公家具、金属公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教学家具、金属办公家具、金属公寓家具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教学家具、金属办公家具、金属公寓家具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疆隆威家具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昌吉州昌吉市六工镇下六工村一片区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昌吉州昌吉市六工镇下六工村一片区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教学家具、金属办公家具、金属公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教学家具、金属办公家具、金属公寓家具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教学家具、金属办公家具、金属公寓家具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