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受审核方：唐县睿智文教用品加工有限公司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1"/>
          <w:rFonts w:ascii="楷体" w:hAnsi="楷体" w:eastAsia="楷体"/>
          <w:b/>
          <w:sz w:val="36"/>
          <w:szCs w:val="36"/>
        </w:rPr>
        <w:t>www.</w:t>
      </w:r>
      <w:r>
        <w:rPr>
          <w:rStyle w:val="11"/>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267"/>
        <w:gridCol w:w="1330"/>
        <w:gridCol w:w="2583"/>
        <w:gridCol w:w="348"/>
        <w:gridCol w:w="850"/>
        <w:gridCol w:w="176"/>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67" w:type="dxa"/>
            <w:vAlign w:val="center"/>
          </w:tcPr>
          <w:p>
            <w:pPr>
              <w:jc w:val="center"/>
              <w:rPr>
                <w:b/>
                <w:sz w:val="21"/>
                <w:szCs w:val="21"/>
              </w:rPr>
            </w:pPr>
            <w:r>
              <w:rPr>
                <w:rFonts w:hint="eastAsia"/>
                <w:b/>
                <w:sz w:val="21"/>
                <w:szCs w:val="21"/>
              </w:rPr>
              <w:t>职务</w:t>
            </w:r>
          </w:p>
        </w:tc>
        <w:tc>
          <w:tcPr>
            <w:tcW w:w="1330" w:type="dxa"/>
            <w:vAlign w:val="center"/>
          </w:tcPr>
          <w:p>
            <w:pPr>
              <w:jc w:val="center"/>
              <w:rPr>
                <w:b/>
                <w:sz w:val="21"/>
                <w:szCs w:val="21"/>
              </w:rPr>
            </w:pPr>
            <w:r>
              <w:rPr>
                <w:rFonts w:hint="eastAsia"/>
                <w:b/>
                <w:sz w:val="21"/>
                <w:szCs w:val="21"/>
              </w:rPr>
              <w:t>注册级别</w:t>
            </w:r>
          </w:p>
        </w:tc>
        <w:tc>
          <w:tcPr>
            <w:tcW w:w="2583" w:type="dxa"/>
            <w:vAlign w:val="center"/>
          </w:tcPr>
          <w:p>
            <w:pPr>
              <w:jc w:val="center"/>
              <w:rPr>
                <w:b/>
                <w:sz w:val="21"/>
                <w:szCs w:val="21"/>
              </w:rPr>
            </w:pPr>
            <w:r>
              <w:rPr>
                <w:rFonts w:hint="eastAsia"/>
                <w:b/>
                <w:sz w:val="21"/>
                <w:szCs w:val="21"/>
              </w:rPr>
              <w:t>审核员注册号</w:t>
            </w:r>
          </w:p>
        </w:tc>
        <w:tc>
          <w:tcPr>
            <w:tcW w:w="1374" w:type="dxa"/>
            <w:gridSpan w:val="3"/>
            <w:vAlign w:val="center"/>
          </w:tcPr>
          <w:p>
            <w:pPr>
              <w:jc w:val="center"/>
              <w:rPr>
                <w:b/>
                <w:sz w:val="21"/>
                <w:szCs w:val="21"/>
              </w:rPr>
            </w:pPr>
            <w:r>
              <w:rPr>
                <w:rFonts w:hint="eastAsia"/>
                <w:b/>
                <w:sz w:val="21"/>
                <w:szCs w:val="21"/>
              </w:rPr>
              <w:t>专业代码</w:t>
            </w:r>
          </w:p>
        </w:tc>
        <w:tc>
          <w:tcPr>
            <w:tcW w:w="1438"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267" w:type="dxa"/>
            <w:vAlign w:val="center"/>
          </w:tcPr>
          <w:p>
            <w:pPr>
              <w:jc w:val="center"/>
              <w:rPr>
                <w:b/>
                <w:sz w:val="21"/>
                <w:szCs w:val="21"/>
              </w:rPr>
            </w:pPr>
            <w:r>
              <w:rPr>
                <w:b/>
                <w:sz w:val="21"/>
                <w:szCs w:val="21"/>
              </w:rPr>
              <w:t>组长</w:t>
            </w:r>
          </w:p>
        </w:tc>
        <w:tc>
          <w:tcPr>
            <w:tcW w:w="1330" w:type="dxa"/>
            <w:vAlign w:val="center"/>
          </w:tcPr>
          <w:p>
            <w:pPr>
              <w:jc w:val="center"/>
              <w:rPr>
                <w:b/>
                <w:sz w:val="21"/>
                <w:szCs w:val="21"/>
              </w:rPr>
            </w:pPr>
            <w:r>
              <w:rPr>
                <w:b/>
                <w:sz w:val="21"/>
                <w:szCs w:val="21"/>
              </w:rPr>
              <w:t>E:审核员</w:t>
            </w:r>
          </w:p>
          <w:p>
            <w:pPr>
              <w:jc w:val="center"/>
              <w:rPr>
                <w:b/>
                <w:sz w:val="21"/>
                <w:szCs w:val="21"/>
              </w:rPr>
            </w:pPr>
            <w:r>
              <w:rPr>
                <w:b/>
                <w:sz w:val="21"/>
                <w:szCs w:val="21"/>
              </w:rPr>
              <w:t>Q:审核员</w:t>
            </w:r>
          </w:p>
          <w:p>
            <w:pPr>
              <w:jc w:val="center"/>
              <w:rPr>
                <w:b/>
                <w:sz w:val="21"/>
                <w:szCs w:val="21"/>
              </w:rPr>
            </w:pPr>
            <w:r>
              <w:rPr>
                <w:b/>
                <w:sz w:val="21"/>
                <w:szCs w:val="21"/>
              </w:rPr>
              <w:t>O:审核员</w:t>
            </w:r>
          </w:p>
        </w:tc>
        <w:tc>
          <w:tcPr>
            <w:tcW w:w="2583" w:type="dxa"/>
            <w:vAlign w:val="center"/>
          </w:tcPr>
          <w:p>
            <w:pPr>
              <w:jc w:val="center"/>
              <w:rPr>
                <w:b/>
                <w:sz w:val="21"/>
                <w:szCs w:val="21"/>
              </w:rPr>
            </w:pPr>
            <w:r>
              <w:rPr>
                <w:b/>
                <w:sz w:val="21"/>
                <w:szCs w:val="21"/>
              </w:rPr>
              <w:t>2018-N1EMS-1222792</w:t>
            </w:r>
          </w:p>
          <w:p>
            <w:pPr>
              <w:jc w:val="center"/>
              <w:rPr>
                <w:b/>
                <w:sz w:val="21"/>
                <w:szCs w:val="21"/>
              </w:rPr>
            </w:pPr>
            <w:r>
              <w:rPr>
                <w:b/>
                <w:sz w:val="21"/>
                <w:szCs w:val="21"/>
              </w:rPr>
              <w:t>2018-N1QMS-1222792</w:t>
            </w:r>
          </w:p>
          <w:p>
            <w:pPr>
              <w:jc w:val="center"/>
              <w:rPr>
                <w:b/>
                <w:sz w:val="21"/>
                <w:szCs w:val="21"/>
              </w:rPr>
            </w:pPr>
            <w:r>
              <w:rPr>
                <w:b/>
                <w:sz w:val="21"/>
                <w:szCs w:val="21"/>
              </w:rPr>
              <w:t>2018-N1OHSMS-1222792</w:t>
            </w:r>
          </w:p>
        </w:tc>
        <w:tc>
          <w:tcPr>
            <w:tcW w:w="1374" w:type="dxa"/>
            <w:gridSpan w:val="3"/>
            <w:vAlign w:val="center"/>
          </w:tcPr>
          <w:p>
            <w:pPr>
              <w:jc w:val="center"/>
              <w:rPr>
                <w:b/>
                <w:sz w:val="21"/>
                <w:szCs w:val="21"/>
              </w:rPr>
            </w:pPr>
            <w:r>
              <w:rPr>
                <w:b/>
                <w:sz w:val="21"/>
                <w:szCs w:val="21"/>
              </w:rPr>
              <w:t>E:29.12.00</w:t>
            </w:r>
          </w:p>
          <w:p>
            <w:pPr>
              <w:jc w:val="center"/>
              <w:rPr>
                <w:b/>
                <w:sz w:val="21"/>
                <w:szCs w:val="21"/>
              </w:rPr>
            </w:pPr>
            <w:r>
              <w:rPr>
                <w:b/>
                <w:sz w:val="21"/>
                <w:szCs w:val="21"/>
              </w:rPr>
              <w:t>Q:29.12.00</w:t>
            </w:r>
          </w:p>
          <w:p>
            <w:pPr>
              <w:jc w:val="center"/>
              <w:rPr>
                <w:b/>
                <w:sz w:val="21"/>
                <w:szCs w:val="21"/>
              </w:rPr>
            </w:pPr>
            <w:r>
              <w:rPr>
                <w:b/>
                <w:sz w:val="21"/>
                <w:szCs w:val="21"/>
              </w:rPr>
              <w:t>O:29.12.00</w:t>
            </w:r>
          </w:p>
        </w:tc>
        <w:tc>
          <w:tcPr>
            <w:tcW w:w="1438" w:type="dxa"/>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267" w:type="dxa"/>
          </w:tcPr>
          <w:p>
            <w:pPr>
              <w:rPr>
                <w:b/>
                <w:sz w:val="21"/>
                <w:szCs w:val="21"/>
              </w:rPr>
            </w:pPr>
          </w:p>
        </w:tc>
        <w:tc>
          <w:tcPr>
            <w:tcW w:w="1330" w:type="dxa"/>
          </w:tcPr>
          <w:p>
            <w:pPr>
              <w:rPr>
                <w:b/>
                <w:sz w:val="21"/>
                <w:szCs w:val="21"/>
              </w:rPr>
            </w:pPr>
          </w:p>
        </w:tc>
        <w:tc>
          <w:tcPr>
            <w:tcW w:w="2583" w:type="dxa"/>
          </w:tcPr>
          <w:p>
            <w:pPr>
              <w:rPr>
                <w:b/>
                <w:sz w:val="21"/>
                <w:szCs w:val="21"/>
              </w:rPr>
            </w:pPr>
          </w:p>
        </w:tc>
        <w:tc>
          <w:tcPr>
            <w:tcW w:w="1374" w:type="dxa"/>
            <w:gridSpan w:val="3"/>
          </w:tcPr>
          <w:p>
            <w:pPr>
              <w:rPr>
                <w:b/>
                <w:sz w:val="21"/>
                <w:szCs w:val="21"/>
              </w:rPr>
            </w:pPr>
          </w:p>
        </w:tc>
        <w:tc>
          <w:tcPr>
            <w:tcW w:w="1438"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67" w:type="dxa"/>
            <w:vAlign w:val="center"/>
          </w:tcPr>
          <w:p>
            <w:pPr>
              <w:jc w:val="center"/>
              <w:rPr>
                <w:b/>
                <w:sz w:val="21"/>
                <w:szCs w:val="21"/>
              </w:rPr>
            </w:pPr>
            <w:r>
              <w:rPr>
                <w:rFonts w:hint="eastAsia"/>
                <w:b/>
                <w:sz w:val="21"/>
                <w:szCs w:val="21"/>
              </w:rPr>
              <w:t>角色</w:t>
            </w:r>
          </w:p>
        </w:tc>
        <w:tc>
          <w:tcPr>
            <w:tcW w:w="6725"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267" w:type="dxa"/>
            <w:vAlign w:val="center"/>
          </w:tcPr>
          <w:p>
            <w:pPr>
              <w:jc w:val="center"/>
              <w:rPr>
                <w:b/>
                <w:sz w:val="21"/>
                <w:szCs w:val="21"/>
              </w:rPr>
            </w:pPr>
          </w:p>
        </w:tc>
        <w:tc>
          <w:tcPr>
            <w:tcW w:w="6725"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GB/T45001—2020/ISO 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467"/>
        <w:gridCol w:w="182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265" w:type="dxa"/>
            <w:gridSpan w:val="3"/>
            <w:vAlign w:val="center"/>
          </w:tcPr>
          <w:p>
            <w:pPr>
              <w:spacing w:line="260" w:lineRule="exact"/>
              <w:jc w:val="center"/>
              <w:rPr>
                <w:rFonts w:ascii="宋体"/>
                <w:b/>
                <w:color w:val="FF0000"/>
                <w:sz w:val="21"/>
              </w:rPr>
            </w:pPr>
            <w:bookmarkStart w:id="9" w:name="组织名称Add"/>
            <w:r>
              <w:rPr>
                <w:rFonts w:ascii="宋体" w:hAnsi="Times New Roman" w:eastAsia="宋体" w:cs="Times New Roman"/>
                <w:b/>
                <w:sz w:val="21"/>
                <w:szCs w:val="22"/>
              </w:rPr>
              <w:t>唐县睿智文教用品加工有限公司</w:t>
            </w:r>
            <w:bookmarkEnd w:id="9"/>
          </w:p>
        </w:tc>
        <w:tc>
          <w:tcPr>
            <w:tcW w:w="1823"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jc w:val="center"/>
              <w:rPr>
                <w:b/>
                <w:spacing w:val="-20"/>
              </w:rPr>
            </w:pPr>
            <w:r>
              <w:rPr>
                <w:rFonts w:hint="eastAsia" w:ascii="宋体" w:hAnsi="宋体"/>
                <w:b/>
                <w:sz w:val="21"/>
              </w:rPr>
              <w:t>变动情况核实</w:t>
            </w:r>
          </w:p>
        </w:tc>
        <w:tc>
          <w:tcPr>
            <w:tcW w:w="1500" w:type="dxa"/>
            <w:vAlign w:val="center"/>
          </w:tcPr>
          <w:p>
            <w:pPr>
              <w:pStyle w:val="2"/>
              <w:jc w:val="center"/>
              <w:rPr>
                <w:rFonts w:hint="default" w:eastAsia="宋体"/>
                <w:lang w:val="en-US" w:eastAsia="zh-CN"/>
              </w:rPr>
            </w:pPr>
            <w:r>
              <w:rPr>
                <w:rFonts w:hint="eastAsia" w:ascii="宋体"/>
                <w:b/>
                <w:sz w:val="21"/>
                <w:lang w:val="en-US" w:eastAsia="zh-CN"/>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265" w:type="dxa"/>
            <w:gridSpan w:val="3"/>
            <w:vAlign w:val="center"/>
          </w:tcPr>
          <w:p>
            <w:pPr>
              <w:jc w:val="center"/>
              <w:rPr>
                <w:rFonts w:ascii="宋体"/>
                <w:b/>
                <w:sz w:val="21"/>
              </w:rPr>
            </w:pPr>
            <w:bookmarkStart w:id="10" w:name="注册地址"/>
            <w:r>
              <w:rPr>
                <w:rFonts w:ascii="宋体"/>
                <w:b/>
                <w:sz w:val="21"/>
              </w:rPr>
              <w:t>唐县王京镇西安乐村</w:t>
            </w:r>
            <w:bookmarkEnd w:id="10"/>
          </w:p>
        </w:tc>
        <w:tc>
          <w:tcPr>
            <w:tcW w:w="1823" w:type="dxa"/>
            <w:vMerge w:val="restart"/>
            <w:vAlign w:val="center"/>
          </w:tcPr>
          <w:p>
            <w:pPr>
              <w:jc w:val="center"/>
              <w:rPr>
                <w:rFonts w:ascii="宋体"/>
                <w:b/>
                <w:sz w:val="21"/>
              </w:rPr>
            </w:pPr>
            <w:r>
              <w:rPr>
                <w:rFonts w:hint="eastAsia" w:ascii="宋体" w:hAnsi="宋体"/>
                <w:b/>
                <w:sz w:val="21"/>
              </w:rPr>
              <w:t>邮编</w:t>
            </w:r>
          </w:p>
        </w:tc>
        <w:tc>
          <w:tcPr>
            <w:tcW w:w="1500" w:type="dxa"/>
            <w:vAlign w:val="center"/>
          </w:tcPr>
          <w:p>
            <w:pPr>
              <w:jc w:val="center"/>
              <w:rPr>
                <w:rFonts w:ascii="宋体"/>
                <w:b/>
                <w:sz w:val="21"/>
              </w:rPr>
            </w:pPr>
            <w:bookmarkStart w:id="11" w:name="注册邮编"/>
            <w:r>
              <w:rPr>
                <w:rFonts w:ascii="宋体"/>
                <w:b/>
                <w:sz w:val="21"/>
              </w:rPr>
              <w:t>072350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265" w:type="dxa"/>
            <w:gridSpan w:val="3"/>
            <w:vAlign w:val="center"/>
          </w:tcPr>
          <w:p>
            <w:pPr>
              <w:jc w:val="center"/>
              <w:rPr>
                <w:rFonts w:ascii="宋体"/>
                <w:b/>
                <w:sz w:val="21"/>
              </w:rPr>
            </w:pPr>
            <w:bookmarkStart w:id="12" w:name="办公地址"/>
            <w:r>
              <w:rPr>
                <w:rFonts w:ascii="宋体"/>
                <w:b/>
                <w:sz w:val="21"/>
              </w:rPr>
              <w:t>唐县王京镇西安乐村</w:t>
            </w:r>
            <w:bookmarkEnd w:id="12"/>
          </w:p>
        </w:tc>
        <w:tc>
          <w:tcPr>
            <w:tcW w:w="1823"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3" w:name="办公邮编"/>
            <w:r>
              <w:rPr>
                <w:rFonts w:ascii="宋体"/>
                <w:b/>
                <w:sz w:val="21"/>
              </w:rPr>
              <w:t>072350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265" w:type="dxa"/>
            <w:gridSpan w:val="3"/>
            <w:vAlign w:val="center"/>
          </w:tcPr>
          <w:p>
            <w:pPr>
              <w:jc w:val="center"/>
              <w:rPr>
                <w:rFonts w:ascii="宋体"/>
                <w:b/>
                <w:sz w:val="21"/>
              </w:rPr>
            </w:pPr>
            <w:bookmarkStart w:id="14" w:name="生产地址Add"/>
            <w:r>
              <w:rPr>
                <w:rFonts w:ascii="宋体"/>
                <w:b/>
                <w:sz w:val="21"/>
              </w:rPr>
              <w:t>唐县王京镇西安乐村</w:t>
            </w:r>
            <w:bookmarkEnd w:id="14"/>
          </w:p>
        </w:tc>
        <w:tc>
          <w:tcPr>
            <w:tcW w:w="1823"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5" w:name="生产邮编"/>
            <w:r>
              <w:rPr>
                <w:rFonts w:ascii="宋体"/>
                <w:b/>
                <w:sz w:val="21"/>
              </w:rPr>
              <w:t>072350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张丽</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467" w:type="dxa"/>
            <w:vAlign w:val="center"/>
          </w:tcPr>
          <w:p>
            <w:pPr>
              <w:jc w:val="center"/>
              <w:rPr>
                <w:rFonts w:ascii="宋体"/>
                <w:b/>
                <w:sz w:val="21"/>
              </w:rPr>
            </w:pPr>
            <w:bookmarkStart w:id="17" w:name="联系人电话Add"/>
            <w:r>
              <w:rPr>
                <w:rFonts w:ascii="宋体"/>
                <w:b/>
                <w:sz w:val="21"/>
              </w:rPr>
              <w:t>13832244978</w:t>
            </w:r>
            <w:bookmarkEnd w:id="17"/>
          </w:p>
        </w:tc>
        <w:tc>
          <w:tcPr>
            <w:tcW w:w="1823"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张丽</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467" w:type="dxa"/>
          </w:tcPr>
          <w:p>
            <w:pPr>
              <w:rPr>
                <w:rFonts w:ascii="宋体" w:hAnsi="宋体"/>
                <w:b/>
                <w:sz w:val="21"/>
                <w:szCs w:val="21"/>
              </w:rPr>
            </w:pPr>
          </w:p>
        </w:tc>
        <w:tc>
          <w:tcPr>
            <w:tcW w:w="1823"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张丽</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2020年04月22日 上午至2020年04月23日 下午</w:t>
            </w:r>
            <w:bookmarkEnd w:id="21"/>
          </w:p>
        </w:tc>
        <w:tc>
          <w:tcPr>
            <w:tcW w:w="1467" w:type="dxa"/>
            <w:vAlign w:val="center"/>
          </w:tcPr>
          <w:p>
            <w:pPr>
              <w:rPr>
                <w:rFonts w:ascii="宋体" w:hAnsi="宋体"/>
                <w:b/>
                <w:sz w:val="21"/>
                <w:szCs w:val="21"/>
              </w:rPr>
            </w:pPr>
            <w:r>
              <w:rPr>
                <w:rFonts w:hint="eastAsia" w:ascii="宋体" w:hAnsi="宋体"/>
                <w:b/>
                <w:sz w:val="21"/>
                <w:szCs w:val="21"/>
              </w:rPr>
              <w:t>一体化审核</w:t>
            </w:r>
          </w:p>
        </w:tc>
        <w:tc>
          <w:tcPr>
            <w:tcW w:w="3323" w:type="dxa"/>
            <w:gridSpan w:val="2"/>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auto"/>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r>
              <w:rPr>
                <w:rFonts w:hint="eastAsia" w:ascii="宋体" w:hAnsi="宋体"/>
                <w:b w:val="0"/>
                <w:bCs/>
                <w:sz w:val="21"/>
                <w:szCs w:val="21"/>
              </w:rPr>
              <w:t>音体美器材、教学仪器、课桌椅床、办公用品、书架、幼儿玩具（对儿童有危害的除外）的销售</w:t>
            </w:r>
          </w:p>
          <w:p>
            <w:pPr>
              <w:spacing w:line="360" w:lineRule="auto"/>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r>
              <w:rPr>
                <w:rFonts w:hint="eastAsia" w:ascii="宋体" w:hAnsi="宋体"/>
                <w:b w:val="0"/>
                <w:bCs/>
                <w:sz w:val="21"/>
                <w:szCs w:val="21"/>
              </w:rPr>
              <w:t>音体美器材、教学仪器、课桌椅床、办公用品、书架、幼儿玩具（对儿童有危害的除外）的销售及相关的环境管理活动</w:t>
            </w:r>
          </w:p>
          <w:p>
            <w:pPr>
              <w:spacing w:line="360" w:lineRule="auto"/>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r>
              <w:rPr>
                <w:rFonts w:hint="eastAsia" w:ascii="宋体" w:hAnsi="宋体"/>
                <w:b w:val="0"/>
                <w:bCs/>
                <w:sz w:val="21"/>
                <w:szCs w:val="21"/>
              </w:rPr>
              <w:t xml:space="preserve">音体美器材、教学仪器、课桌椅床、办公用品、书架、幼儿玩具（对儿童有危害的除外）的销售及相关的职业健康安全管理活动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tabs>
                <w:tab w:val="left" w:pos="645"/>
              </w:tabs>
              <w:rPr>
                <w:b/>
                <w:sz w:val="21"/>
                <w:szCs w:val="21"/>
              </w:rPr>
            </w:pPr>
            <w:r>
              <w:rPr>
                <w:rFonts w:hint="eastAsia" w:ascii="宋体" w:hAnsi="宋体"/>
                <w:b/>
                <w:sz w:val="21"/>
                <w:szCs w:val="21"/>
              </w:rPr>
              <w:t>变更的认证范围</w:t>
            </w:r>
            <w:r>
              <w:rPr>
                <w:rFonts w:ascii="宋体" w:hAnsi="宋体"/>
                <w:b/>
                <w:sz w:val="21"/>
                <w:szCs w:val="21"/>
              </w:rPr>
              <w:t xml:space="preserve">: </w:t>
            </w:r>
            <w:r>
              <w:rPr>
                <w:rFonts w:hint="eastAsia" w:ascii="宋体" w:hAnsi="宋体" w:eastAsia="宋体" w:cs="宋体"/>
                <w:b w:val="0"/>
                <w:bCs/>
                <w:sz w:val="21"/>
                <w:szCs w:val="21"/>
              </w:rPr>
              <w:t xml:space="preserve"> </w:t>
            </w:r>
            <w:r>
              <w:rPr>
                <w:rFonts w:hint="eastAsia" w:ascii="宋体" w:hAnsi="宋体" w:eastAsia="宋体" w:cs="宋体"/>
                <w:b w:val="0"/>
                <w:bCs/>
                <w:sz w:val="21"/>
                <w:szCs w:val="21"/>
                <w:lang w:val="en-US" w:eastAsia="zh-CN"/>
              </w:rPr>
              <w:t>职业健康体系认证标准执行：</w:t>
            </w:r>
            <w:r>
              <w:rPr>
                <w:rFonts w:hint="eastAsia" w:ascii="宋体" w:hAnsi="宋体" w:eastAsia="宋体" w:cs="宋体"/>
                <w:b w:val="0"/>
                <w:bCs/>
                <w:sz w:val="21"/>
                <w:szCs w:val="21"/>
              </w:rPr>
              <w:t xml:space="preserve"> GB/T45001—2020/ISO 45001:2018标准</w:t>
            </w:r>
          </w:p>
          <w:p>
            <w:pPr>
              <w:spacing w:line="360" w:lineRule="exact"/>
              <w:rPr>
                <w:rFonts w:ascii="宋体" w:hAnsi="宋体"/>
                <w:b/>
                <w:sz w:val="21"/>
                <w:szCs w:val="21"/>
              </w:rPr>
            </w:pP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vAlign w:val="center"/>
          </w:tcPr>
          <w:p>
            <w:pPr>
              <w:spacing w:line="260" w:lineRule="exact"/>
              <w:jc w:val="center"/>
              <w:rPr>
                <w:rFonts w:ascii="宋体" w:hAnsi="宋体"/>
                <w:b/>
                <w:sz w:val="21"/>
                <w:szCs w:val="21"/>
              </w:rPr>
            </w:pPr>
            <w:bookmarkStart w:id="25" w:name="专业代码"/>
            <w:r>
              <w:rPr>
                <w:rFonts w:ascii="宋体" w:hAnsi="宋体"/>
                <w:b/>
                <w:sz w:val="21"/>
                <w:szCs w:val="21"/>
              </w:rPr>
              <w:t>E：29.12.00</w:t>
            </w:r>
          </w:p>
          <w:p>
            <w:pPr>
              <w:spacing w:line="260" w:lineRule="exact"/>
              <w:jc w:val="center"/>
              <w:rPr>
                <w:rFonts w:ascii="宋体" w:hAnsi="宋体"/>
                <w:b/>
                <w:sz w:val="21"/>
                <w:szCs w:val="21"/>
              </w:rPr>
            </w:pPr>
            <w:r>
              <w:rPr>
                <w:rFonts w:ascii="宋体" w:hAnsi="宋体"/>
                <w:b/>
                <w:sz w:val="21"/>
                <w:szCs w:val="21"/>
              </w:rPr>
              <w:t>Q：29.12.00</w:t>
            </w:r>
          </w:p>
          <w:p>
            <w:pPr>
              <w:spacing w:line="260" w:lineRule="exact"/>
              <w:jc w:val="center"/>
              <w:rPr>
                <w:rFonts w:ascii="宋体" w:hAnsi="宋体"/>
                <w:b/>
                <w:sz w:val="21"/>
                <w:szCs w:val="21"/>
              </w:rPr>
            </w:pPr>
            <w:r>
              <w:rPr>
                <w:rFonts w:ascii="宋体" w:hAnsi="宋体"/>
                <w:b/>
                <w:sz w:val="21"/>
                <w:szCs w:val="21"/>
              </w:rPr>
              <w:t>O：29.12.00</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467" w:type="dxa"/>
            <w:vAlign w:val="center"/>
          </w:tcPr>
          <w:p>
            <w:pPr>
              <w:pStyle w:val="3"/>
              <w:ind w:left="0" w:leftChars="0" w:firstLine="0" w:firstLineChars="0"/>
              <w:jc w:val="both"/>
            </w:pPr>
            <w:r>
              <w:rPr>
                <w:rFonts w:hint="eastAsia" w:ascii="宋体" w:hAnsi="宋体" w:eastAsia="宋体" w:cs="宋体"/>
                <w:sz w:val="21"/>
                <w:szCs w:val="21"/>
              </w:rPr>
              <w:t>2022-01-08</w:t>
            </w:r>
          </w:p>
        </w:tc>
        <w:tc>
          <w:tcPr>
            <w:tcW w:w="1823"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center"/>
          </w:tcPr>
          <w:p>
            <w:pPr>
              <w:spacing w:line="260" w:lineRule="exact"/>
              <w:jc w:val="center"/>
              <w:rPr>
                <w:rFonts w:hint="default" w:ascii="宋体" w:eastAsia="宋体"/>
                <w:b/>
                <w:sz w:val="21"/>
                <w:lang w:val="en-US" w:eastAsia="zh-CN"/>
              </w:rPr>
            </w:pPr>
            <w:r>
              <w:rPr>
                <w:rStyle w:val="10"/>
                <w:rFonts w:hint="eastAsia" w:ascii="宋体" w:hAnsi="宋体" w:eastAsia="宋体" w:cs="宋体"/>
                <w:b w:val="0"/>
                <w:sz w:val="21"/>
                <w:szCs w:val="21"/>
              </w:rPr>
              <w:t>2019-01-09</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w:t>
      </w:r>
      <w:r>
        <w:rPr>
          <w:rFonts w:hint="eastAsia" w:ascii="宋体" w:hAnsi="宋体"/>
          <w:b/>
          <w:sz w:val="21"/>
          <w:szCs w:val="21"/>
          <w:lang w:val="en-US" w:eastAsia="zh-CN"/>
        </w:rPr>
        <w:t>年</w:t>
      </w:r>
      <w:r>
        <w:rPr>
          <w:rFonts w:hint="eastAsia" w:ascii="宋体" w:hAnsi="宋体"/>
          <w:b/>
          <w:sz w:val="21"/>
          <w:szCs w:val="21"/>
        </w:rPr>
        <w:t>01</w:t>
      </w:r>
      <w:r>
        <w:rPr>
          <w:rFonts w:hint="eastAsia" w:ascii="宋体" w:hAnsi="宋体"/>
          <w:b/>
          <w:sz w:val="21"/>
          <w:szCs w:val="21"/>
          <w:lang w:val="en-US" w:eastAsia="zh-CN"/>
        </w:rPr>
        <w:t>月</w:t>
      </w:r>
      <w:r>
        <w:rPr>
          <w:rFonts w:hint="eastAsia" w:ascii="宋体" w:hAnsi="宋体"/>
          <w:b/>
          <w:sz w:val="21"/>
          <w:szCs w:val="21"/>
        </w:rPr>
        <w:t>09</w:t>
      </w:r>
      <w:r>
        <w:rPr>
          <w:rFonts w:hint="eastAsia" w:ascii="宋体" w:hAnsi="宋体"/>
          <w:b/>
          <w:sz w:val="21"/>
          <w:szCs w:val="21"/>
          <w:lang w:val="en-US" w:eastAsia="zh-CN"/>
        </w:rPr>
        <w:t>日</w:t>
      </w:r>
      <w:r>
        <w:rPr>
          <w:rFonts w:hint="eastAsia" w:ascii="宋体" w:hAnsi="宋体"/>
          <w:b/>
          <w:sz w:val="21"/>
          <w:szCs w:val="21"/>
        </w:rPr>
        <w:t>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22</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360" w:lineRule="auto"/>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auto"/>
              <w:rPr>
                <w:rFonts w:hint="eastAsia" w:ascii="宋体" w:hAnsi="宋体" w:eastAsia="宋体" w:cs="宋体"/>
                <w:b/>
                <w:bCs w:val="0"/>
                <w:color w:val="000000" w:themeColor="text1"/>
                <w:sz w:val="21"/>
                <w:szCs w:val="21"/>
              </w:rPr>
            </w:pPr>
            <w:r>
              <w:rPr>
                <w:rFonts w:hint="eastAsia" w:ascii="宋体" w:hAnsi="宋体" w:eastAsia="宋体" w:cs="宋体"/>
                <w:b/>
                <w:bCs w:val="0"/>
                <w:color w:val="000000" w:themeColor="text1"/>
                <w:sz w:val="21"/>
                <w:szCs w:val="21"/>
              </w:rPr>
              <w:t>1、组织及其环境的识别情况</w:t>
            </w:r>
          </w:p>
          <w:p>
            <w:pPr>
              <w:spacing w:line="360" w:lineRule="auto"/>
              <w:rPr>
                <w:rFonts w:hint="eastAsia" w:ascii="宋体" w:hAnsi="宋体"/>
                <w:b/>
                <w:sz w:val="21"/>
                <w:szCs w:val="21"/>
              </w:rPr>
            </w:pPr>
            <w:r>
              <w:rPr>
                <w:rFonts w:hint="eastAsia" w:ascii="宋体" w:hAnsi="宋体" w:eastAsia="宋体" w:cs="宋体"/>
                <w:b w:val="0"/>
                <w:bCs/>
                <w:sz w:val="21"/>
                <w:szCs w:val="21"/>
              </w:rPr>
              <w:t>公司确定了与本公司质量目标和战略方向相关并影响实现质量、环境和职业健康安全管理体系预期结果的各种内部因素（如公司的价值观、文化、知识、绩效等相关因素）和外部因素（国家、地区和当地的各种法律法规、技术、竞争、文化和社会因素等）。这些因素包括了需要考虑的正面和负面因素或条件。经营范围</w:t>
            </w:r>
            <w:r>
              <w:rPr>
                <w:rFonts w:hint="eastAsia" w:ascii="宋体" w:hAnsi="宋体" w:eastAsia="宋体" w:cs="宋体"/>
                <w:b w:val="0"/>
                <w:bCs/>
                <w:sz w:val="21"/>
                <w:szCs w:val="21"/>
                <w:lang w:val="en-US" w:eastAsia="zh-CN"/>
              </w:rPr>
              <w:t>为</w:t>
            </w:r>
            <w:r>
              <w:rPr>
                <w:rFonts w:hint="eastAsia" w:ascii="宋体" w:hAnsi="宋体" w:eastAsia="宋体" w:cs="宋体"/>
                <w:b w:val="0"/>
                <w:bCs/>
                <w:sz w:val="21"/>
                <w:szCs w:val="21"/>
              </w:rPr>
              <w:t>音体美器材、教学仪器、课桌椅床、办公用品、书架、幼儿玩具（对儿童有危害的除外）的销售等。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相关方包括顾客、所有者、组织中的成员、供应商、银行、工会、合伙人、竞争对手或社会团体或行业协会。在每年的管理评审前，由相关部门负责人进行识别并评估其适用性,具体部门及识别见管理评审输入。 主要顾客群：主要是教育局、学校等。</w:t>
            </w:r>
          </w:p>
          <w:p>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相关方期望或要求监测与更新：管理者代表每年在管理评审前组织一次全面的内外部环境要素识别与评审。</w:t>
            </w:r>
          </w:p>
          <w:p>
            <w:pPr>
              <w:spacing w:line="360" w:lineRule="auto"/>
              <w:ind w:firstLine="420" w:firstLineChars="200"/>
              <w:rPr>
                <w:rFonts w:hint="eastAsia" w:ascii="宋体" w:hAnsi="宋体"/>
                <w:b/>
                <w:sz w:val="21"/>
                <w:szCs w:val="21"/>
              </w:rPr>
            </w:pPr>
            <w:r>
              <w:rPr>
                <w:rFonts w:hint="eastAsia" w:ascii="宋体" w:hAnsi="宋体" w:eastAsia="宋体" w:cs="宋体"/>
                <w:b w:val="0"/>
                <w:bCs/>
                <w:sz w:val="21"/>
                <w:szCs w:val="21"/>
              </w:rPr>
              <w:t>各部门在获得内外部环境要素信息变化时，应及时告知管理者代表，由管理者代表对《相关方期望或要求识别表》进行修订。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ind w:firstLine="420" w:firstLineChars="200"/>
              <w:rPr>
                <w:rFonts w:hint="eastAsia" w:ascii="宋体" w:hAnsi="宋体"/>
                <w:sz w:val="21"/>
                <w:szCs w:val="21"/>
                <w:lang w:eastAsia="zh-CN"/>
              </w:rPr>
            </w:pPr>
            <w:r>
              <w:rPr>
                <w:rFonts w:hint="eastAsia" w:ascii="宋体" w:hAnsi="宋体" w:eastAsia="宋体" w:cs="宋体"/>
                <w:b w:val="0"/>
                <w:bCs/>
                <w:sz w:val="21"/>
                <w:szCs w:val="21"/>
              </w:rPr>
              <w:t>管理方针为“顾客第一、遵纪守法、服务周到、开拓创新、全员环保、保障健康、诚实守信、持续改进”公司通过各种宣传方式，将质量、环境和职业健康安全方针宣传到本公司各层次，确保方针得到正确的理解和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ind w:left="0" w:leftChars="0" w:firstLine="0" w:firstLineChars="0"/>
              <w:rPr>
                <w:rFonts w:hint="eastAsia" w:ascii="宋体" w:hAnsi="宋体"/>
                <w:b/>
                <w:sz w:val="21"/>
                <w:szCs w:val="21"/>
              </w:rPr>
            </w:pPr>
            <w:r>
              <w:rPr>
                <w:rFonts w:hint="eastAsia" w:ascii="宋体" w:hAnsi="宋体"/>
                <w:b/>
                <w:sz w:val="21"/>
                <w:szCs w:val="21"/>
              </w:rPr>
              <w:t>风险识别与控制策划</w:t>
            </w:r>
          </w:p>
          <w:p>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提供</w:t>
            </w:r>
            <w:r>
              <w:rPr>
                <w:rFonts w:hint="eastAsia" w:ascii="宋体" w:hAnsi="宋体" w:eastAsia="宋体" w:cs="宋体"/>
                <w:b w:val="0"/>
                <w:bCs/>
                <w:sz w:val="21"/>
                <w:szCs w:val="21"/>
              </w:rPr>
              <w:t>《风险和机遇评估分析表》明确了风险和机遇事件的识别方法/途径、风险和机遇的评估方式，对识别出的风险和机遇制定有效的应对措施；并评价这些措施有效性。</w:t>
            </w:r>
          </w:p>
          <w:p>
            <w:pPr>
              <w:numPr>
                <w:ilvl w:val="0"/>
                <w:numId w:val="0"/>
              </w:numPr>
              <w:spacing w:line="280" w:lineRule="exact"/>
              <w:ind w:leftChars="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b w:val="0"/>
                <w:bCs/>
                <w:color w:val="000000" w:themeColor="text1"/>
                <w:sz w:val="21"/>
                <w:szCs w:val="21"/>
              </w:rPr>
              <w:t>人力资源、基础设施、文件、机构、职责、产品和服务的要求、外部提供的产品和服务、销售提供、服务放行、不合格输出控制、绩效评价、改进等</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color w:val="000000" w:themeColor="text1"/>
                <w:sz w:val="20"/>
                <w:szCs w:val="20"/>
                <w:u w:val="single"/>
              </w:rPr>
              <w:t xml:space="preserve">销售过程 </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color w:val="000000" w:themeColor="text1"/>
                <w:sz w:val="20"/>
                <w:szCs w:val="20"/>
                <w:u w:val="single"/>
              </w:rPr>
              <w:t>销售过程</w:t>
            </w:r>
            <w:r>
              <w:rPr>
                <w:rFonts w:hint="eastAsia" w:ascii="宋体" w:hAnsi="宋体"/>
                <w:b/>
                <w:color w:val="000000" w:themeColor="text1"/>
                <w:sz w:val="20"/>
                <w:szCs w:val="20"/>
              </w:rPr>
              <w:t xml:space="preserve"> </w:t>
            </w:r>
          </w:p>
          <w:p>
            <w:pPr>
              <w:tabs>
                <w:tab w:val="left" w:pos="540"/>
              </w:tabs>
              <w:spacing w:line="360" w:lineRule="auto"/>
              <w:ind w:left="211" w:hanging="201" w:hangingChars="100"/>
              <w:rPr>
                <w:rFonts w:ascii="宋体" w:hAnsi="宋体"/>
                <w:b/>
                <w:sz w:val="21"/>
                <w:szCs w:val="21"/>
              </w:rPr>
            </w:pPr>
            <w:r>
              <w:rPr>
                <w:rFonts w:hint="eastAsia" w:ascii="宋体" w:hAnsi="宋体"/>
                <w:b/>
                <w:color w:val="000000" w:themeColor="text1"/>
                <w:sz w:val="20"/>
                <w:szCs w:val="20"/>
              </w:rPr>
              <w:t xml:space="preserve">不适用条款是 </w:t>
            </w:r>
            <w:r>
              <w:rPr>
                <w:rFonts w:hint="eastAsia" w:ascii="宋体" w:hAnsi="宋体"/>
                <w:color w:val="000000" w:themeColor="text1"/>
                <w:sz w:val="20"/>
                <w:szCs w:val="20"/>
                <w:u w:val="single"/>
              </w:rPr>
              <w:t>8.3条款</w:t>
            </w:r>
            <w:r>
              <w:rPr>
                <w:rFonts w:hint="eastAsia" w:ascii="宋体" w:hAnsi="宋体"/>
                <w:color w:val="000000" w:themeColor="text1"/>
                <w:sz w:val="20"/>
                <w:szCs w:val="20"/>
              </w:rPr>
              <w:t xml:space="preserve">  ，</w:t>
            </w:r>
            <w:r>
              <w:rPr>
                <w:rFonts w:hint="eastAsia" w:ascii="宋体" w:hAnsi="宋体"/>
                <w:b/>
                <w:color w:val="000000" w:themeColor="text1"/>
                <w:sz w:val="20"/>
                <w:szCs w:val="20"/>
              </w:rPr>
              <w:t>不适用理由：</w:t>
            </w:r>
            <w:r>
              <w:rPr>
                <w:rFonts w:hint="eastAsia" w:ascii="宋体" w:hAnsi="宋体"/>
                <w:color w:val="000000" w:themeColor="text1"/>
                <w:sz w:val="20"/>
                <w:szCs w:val="20"/>
                <w:u w:val="single"/>
              </w:rPr>
              <w:t>按照标准和客户要求销售，不需再进行设计开发，删减适宜。</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0"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60" w:lineRule="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rPr>
                <w:rFonts w:ascii="宋体" w:hAnsi="宋体"/>
                <w:b/>
                <w:sz w:val="21"/>
                <w:szCs w:val="21"/>
              </w:rPr>
            </w:pPr>
            <w:r>
              <w:rPr>
                <w:rFonts w:hint="eastAsia" w:ascii="宋体" w:hAnsi="宋体" w:eastAsia="宋体" w:cs="宋体"/>
                <w:sz w:val="21"/>
                <w:szCs w:val="21"/>
              </w:rPr>
              <w:t>提供了“环境因素识别评价汇总表”，识别的环境因素标明时态、状态和对环境的影响；识别出办公活动中产生的纸张等消耗、固废排放、生活废水排放等环境因素，无变化。</w:t>
            </w:r>
            <w:r>
              <w:rPr>
                <w:rFonts w:hint="eastAsia" w:ascii="宋体" w:hAnsi="宋体"/>
                <w:sz w:val="21"/>
                <w:szCs w:val="21"/>
                <w:lang w:eastAsia="zh-CN"/>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360" w:lineRule="auto"/>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360" w:lineRule="auto"/>
              <w:rPr>
                <w:rFonts w:hint="eastAsia" w:ascii="宋体" w:hAnsi="宋体"/>
                <w:b w:val="0"/>
                <w:bCs/>
                <w:sz w:val="21"/>
                <w:szCs w:val="21"/>
              </w:rPr>
            </w:pPr>
            <w:r>
              <w:rPr>
                <w:rFonts w:hint="eastAsia" w:ascii="宋体" w:hAnsi="宋体"/>
                <w:b w:val="0"/>
                <w:bCs/>
                <w:sz w:val="21"/>
                <w:szCs w:val="21"/>
              </w:rPr>
              <w:t>提供了“危险源辨识和风险评价一览表”，对办公活动场所产生的危险源辨识并进行风险评价，以确定控制措施，辨识出线路老化、电线漏电、交通事故等情况产生的火灾、触电、意外伤害等危险因素，无变化。</w:t>
            </w:r>
          </w:p>
          <w:p>
            <w:pPr>
              <w:spacing w:line="360" w:lineRule="auto"/>
              <w:rPr>
                <w:rFonts w:hint="eastAsia" w:ascii="宋体" w:hAnsi="宋体"/>
                <w:b w:val="0"/>
                <w:bCs/>
                <w:sz w:val="21"/>
                <w:szCs w:val="21"/>
              </w:rPr>
            </w:pPr>
            <w:r>
              <w:rPr>
                <w:rFonts w:hint="eastAsia" w:ascii="宋体" w:hAnsi="宋体"/>
                <w:b w:val="0"/>
                <w:bCs/>
                <w:sz w:val="21"/>
                <w:szCs w:val="21"/>
              </w:rPr>
              <w:t>提供了“重大危险源清单”涉及本部门的重大危险源有：火灾，触电；</w:t>
            </w:r>
          </w:p>
          <w:p>
            <w:pPr>
              <w:spacing w:line="360" w:lineRule="auto"/>
              <w:rPr>
                <w:rFonts w:hint="eastAsia" w:ascii="宋体" w:hAnsi="宋体"/>
                <w:b/>
                <w:sz w:val="21"/>
                <w:szCs w:val="21"/>
              </w:rPr>
            </w:pPr>
            <w:r>
              <w:rPr>
                <w:rFonts w:hint="eastAsia" w:ascii="宋体" w:hAnsi="宋体"/>
                <w:b w:val="0"/>
                <w:bCs/>
                <w:sz w:val="21"/>
                <w:szCs w:val="21"/>
              </w:rPr>
              <w:t xml:space="preserve">针对重要环境因素、重大危险源编制了管理程序、加强培训、加强检查、配备消防器材等。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6"/>
              <w:numPr>
                <w:ilvl w:val="0"/>
                <w:numId w:val="3"/>
              </w:numPr>
              <w:tabs>
                <w:tab w:val="left" w:pos="540"/>
              </w:tabs>
              <w:spacing w:line="360" w:lineRule="auto"/>
              <w:ind w:firstLineChars="0"/>
              <w:rPr>
                <w:rFonts w:hint="eastAsia"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6"/>
              <w:numPr>
                <w:ilvl w:val="0"/>
                <w:numId w:val="3"/>
              </w:numPr>
              <w:tabs>
                <w:tab w:val="left" w:pos="540"/>
              </w:tabs>
              <w:spacing w:line="360" w:lineRule="auto"/>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6"/>
              <w:numPr>
                <w:ilvl w:val="0"/>
                <w:numId w:val="3"/>
              </w:numPr>
              <w:tabs>
                <w:tab w:val="left" w:pos="540"/>
              </w:tabs>
              <w:spacing w:line="360" w:lineRule="auto"/>
              <w:ind w:firstLineChars="0"/>
              <w:rPr>
                <w:rFonts w:ascii="宋体" w:hAnsi="宋体"/>
                <w:b/>
                <w:szCs w:val="21"/>
              </w:rPr>
            </w:pPr>
            <w:r>
              <w:rPr>
                <w:rFonts w:hint="eastAsia" w:ascii="宋体" w:hAnsi="宋体"/>
                <w:b/>
                <w:szCs w:val="21"/>
              </w:rPr>
              <w:t>法律法规的宣传方式：</w:t>
            </w:r>
            <w:r>
              <w:rPr>
                <w:rFonts w:hint="eastAsia" w:ascii="宋体" w:hAnsi="宋体"/>
                <w:szCs w:val="21"/>
                <w:u w:val="single"/>
              </w:rPr>
              <w:t>公司通过培训、会议等方式向有关员工传达法律、法规及其它要求的相关要求。</w:t>
            </w:r>
          </w:p>
          <w:p>
            <w:pPr>
              <w:pStyle w:val="16"/>
              <w:numPr>
                <w:ilvl w:val="0"/>
                <w:numId w:val="3"/>
              </w:numPr>
              <w:tabs>
                <w:tab w:val="left" w:pos="540"/>
              </w:tabs>
              <w:spacing w:line="360" w:lineRule="auto"/>
              <w:ind w:firstLineChars="0"/>
              <w:rPr>
                <w:rFonts w:ascii="宋体" w:hAnsi="宋体"/>
                <w:b/>
                <w:szCs w:val="21"/>
              </w:rPr>
            </w:pPr>
            <w:r>
              <w:rPr>
                <w:rFonts w:hint="eastAsia" w:ascii="宋体" w:hAnsi="宋体"/>
                <w:b/>
                <w:szCs w:val="21"/>
              </w:rPr>
              <w:t>法律法规要求及时更新了</w:t>
            </w:r>
            <w:r>
              <w:rPr>
                <w:rFonts w:hint="eastAsia" w:ascii="宋体" w:hAnsi="宋体"/>
                <w:szCs w:val="21"/>
                <w:u w:val="single"/>
              </w:rPr>
              <w:t>为最新版本，每年更新一次。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60" w:lineRule="auto"/>
              <w:rPr>
                <w:rFonts w:hint="eastAsia" w:ascii="宋体" w:hAnsi="宋体"/>
                <w:b/>
                <w:sz w:val="21"/>
                <w:szCs w:val="21"/>
              </w:rPr>
            </w:pPr>
            <w:r>
              <w:rPr>
                <w:rFonts w:hint="eastAsia" w:ascii="宋体" w:hAnsi="宋体"/>
                <w:b/>
                <w:sz w:val="21"/>
                <w:szCs w:val="21"/>
              </w:rPr>
              <w:t>管理目标：</w:t>
            </w:r>
            <w:r>
              <w:rPr>
                <w:rFonts w:hint="eastAsia" w:ascii="宋体" w:hAnsi="宋体"/>
                <w:b/>
                <w:sz w:val="21"/>
                <w:szCs w:val="21"/>
              </w:rPr>
              <w:tab/>
            </w:r>
          </w:p>
          <w:p>
            <w:pPr>
              <w:pStyle w:val="16"/>
              <w:numPr>
                <w:ilvl w:val="0"/>
                <w:numId w:val="0"/>
              </w:numPr>
              <w:tabs>
                <w:tab w:val="left" w:pos="540"/>
              </w:tabs>
              <w:spacing w:line="360" w:lineRule="auto"/>
              <w:ind w:leftChars="0" w:firstLine="420" w:firstLineChars="200"/>
              <w:rPr>
                <w:rFonts w:hint="eastAsia" w:ascii="宋体" w:hAnsi="宋体"/>
                <w:szCs w:val="21"/>
                <w:u w:val="single"/>
              </w:rPr>
            </w:pPr>
            <w:r>
              <w:rPr>
                <w:rFonts w:hint="eastAsia" w:ascii="宋体" w:hAnsi="宋体"/>
                <w:szCs w:val="21"/>
                <w:u w:val="single"/>
                <w:lang w:val="en-US" w:eastAsia="zh-CN"/>
              </w:rPr>
              <w:t>1.</w:t>
            </w:r>
            <w:r>
              <w:rPr>
                <w:rFonts w:hint="eastAsia" w:ascii="宋体" w:hAnsi="宋体"/>
                <w:szCs w:val="21"/>
                <w:u w:val="single"/>
              </w:rPr>
              <w:t xml:space="preserve"> 产品出厂合格率100%；2．顾客满意度≧95%；3．固体废弃物有效处置率100%；4．无火灾事故发生；5．无触电事故发生；6．无人身伤害事故发生；</w:t>
            </w:r>
          </w:p>
          <w:p>
            <w:pPr>
              <w:pStyle w:val="16"/>
              <w:numPr>
                <w:ilvl w:val="0"/>
                <w:numId w:val="0"/>
              </w:numPr>
              <w:tabs>
                <w:tab w:val="left" w:pos="540"/>
              </w:tabs>
              <w:spacing w:line="360" w:lineRule="auto"/>
              <w:ind w:leftChars="0" w:firstLine="420" w:firstLineChars="200"/>
              <w:rPr>
                <w:rFonts w:ascii="宋体" w:hAnsi="宋体"/>
                <w:b/>
                <w:sz w:val="21"/>
                <w:szCs w:val="21"/>
              </w:rPr>
            </w:pPr>
            <w:r>
              <w:rPr>
                <w:rFonts w:hint="eastAsia" w:ascii="宋体" w:hAnsi="宋体"/>
                <w:szCs w:val="21"/>
                <w:u w:val="single"/>
              </w:rPr>
              <w:t>提供 “目标分解与考核表”、“目标、指标、管理方案一览表”等。目标已分解到各部门，有目标实现的措施和资源、考核方式、考核周期等要求。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rPr>
                <w:rFonts w:ascii="宋体" w:hAnsi="宋体"/>
                <w:b/>
                <w:sz w:val="21"/>
                <w:szCs w:val="21"/>
              </w:rPr>
            </w:pP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numPr>
                <w:ilvl w:val="0"/>
                <w:numId w:val="0"/>
              </w:numPr>
              <w:spacing w:line="240" w:lineRule="exact"/>
              <w:rPr>
                <w:rFonts w:ascii="宋体" w:hAnsi="宋体"/>
                <w:b/>
                <w:sz w:val="21"/>
                <w:szCs w:val="21"/>
              </w:rPr>
            </w:pPr>
          </w:p>
          <w:p>
            <w:pPr>
              <w:tabs>
                <w:tab w:val="left" w:pos="540"/>
              </w:tabs>
              <w:spacing w:line="240" w:lineRule="exact"/>
              <w:rPr>
                <w:rFonts w:ascii="宋体" w:hAnsi="宋体"/>
                <w:b/>
                <w:sz w:val="21"/>
                <w:szCs w:val="21"/>
              </w:rPr>
            </w:pPr>
            <w:r>
              <w:rPr>
                <w:rFonts w:hint="eastAsia" w:ascii="宋体" w:hAnsi="宋体" w:eastAsia="宋体" w:cs="Times New Roman"/>
                <w:kern w:val="2"/>
                <w:sz w:val="21"/>
                <w:szCs w:val="21"/>
                <w:u w:val="none"/>
                <w:lang w:val="en-US" w:eastAsia="zh-CN" w:bidi="ar-SA"/>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540"/>
              </w:tabs>
              <w:spacing w:line="240" w:lineRule="exact"/>
              <w:ind w:firstLine="210" w:firstLineChars="100"/>
              <w:rPr>
                <w:rFonts w:hint="eastAsia" w:ascii="宋体" w:hAnsi="宋体" w:eastAsia="宋体" w:cs="Times New Roman"/>
                <w:kern w:val="2"/>
                <w:sz w:val="21"/>
                <w:szCs w:val="21"/>
                <w:u w:val="none"/>
                <w:lang w:val="en-US" w:eastAsia="zh-CN" w:bidi="ar-SA"/>
              </w:rPr>
            </w:pPr>
          </w:p>
          <w:p>
            <w:pPr>
              <w:tabs>
                <w:tab w:val="left" w:pos="540"/>
              </w:tabs>
              <w:spacing w:line="240" w:lineRule="exact"/>
              <w:ind w:firstLine="210" w:firstLineChars="100"/>
              <w:rPr>
                <w:rFonts w:hint="eastAsia"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编制了人力资源管理程序，制定培训计划，定期组织相关培训</w:t>
            </w:r>
            <w:r>
              <w:rPr>
                <w:rFonts w:hint="eastAsia" w:ascii="宋体" w:hAnsi="宋体" w:cs="Times New Roman"/>
                <w:kern w:val="2"/>
                <w:sz w:val="21"/>
                <w:szCs w:val="21"/>
                <w:u w:val="none"/>
                <w:lang w:val="en-US" w:eastAsia="zh-CN" w:bidi="ar-SA"/>
              </w:rPr>
              <w:t>。</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ind w:firstLine="210" w:firstLineChars="100"/>
              <w:rPr>
                <w:rFonts w:ascii="宋体" w:hAnsi="宋体"/>
                <w:b/>
                <w:sz w:val="21"/>
                <w:szCs w:val="21"/>
              </w:rPr>
            </w:pPr>
            <w:r>
              <w:rPr>
                <w:rFonts w:hint="eastAsia"/>
                <w:sz w:val="21"/>
                <w:szCs w:val="21"/>
              </w:rPr>
              <w:t>主要设备有：电脑、打印机、网络、电话、打包机等设施设备，办公室能满足要求；</w:t>
            </w:r>
            <w:r>
              <w:rPr>
                <w:rFonts w:hint="eastAsia"/>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spacing w:line="360" w:lineRule="auto"/>
              <w:rPr>
                <w:rFonts w:hint="eastAsia" w:ascii="宋体" w:hAnsi="宋体"/>
                <w:b/>
                <w:sz w:val="21"/>
                <w:szCs w:val="21"/>
                <w:lang w:val="en-US" w:eastAsia="zh-CN"/>
              </w:rPr>
            </w:pPr>
            <w:r>
              <w:rPr>
                <w:rFonts w:hint="eastAsia" w:ascii="宋体" w:hAnsi="宋体"/>
                <w:b/>
                <w:sz w:val="21"/>
                <w:szCs w:val="21"/>
                <w:lang w:val="en-US" w:eastAsia="zh-CN"/>
              </w:rPr>
              <w:t xml:space="preserve">  </w:t>
            </w:r>
            <w:r>
              <w:rPr>
                <w:rFonts w:hint="eastAsia"/>
                <w:sz w:val="21"/>
                <w:szCs w:val="21"/>
              </w:rPr>
              <w:t>产品销售对环境没有特殊要求，办公场所空间较宽敞、光线较明亮，销售服务和办公环境干净、整洁。</w:t>
            </w:r>
          </w:p>
          <w:p>
            <w:pPr>
              <w:spacing w:line="240" w:lineRule="exact"/>
              <w:rPr>
                <w:rFonts w:hint="eastAsia" w:ascii="宋体" w:hAnsi="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ind w:firstLine="210" w:firstLineChars="100"/>
              <w:rPr>
                <w:rFonts w:hint="eastAsia" w:ascii="宋体" w:hAnsi="宋体"/>
                <w:b/>
                <w:sz w:val="21"/>
                <w:szCs w:val="21"/>
              </w:rPr>
            </w:pPr>
            <w:r>
              <w:rPr>
                <w:rFonts w:hint="eastAsia"/>
                <w:sz w:val="21"/>
                <w:szCs w:val="21"/>
              </w:rPr>
              <w:t>采取查验产品外观、包装、合格证等方式，</w:t>
            </w:r>
            <w:r>
              <w:rPr>
                <w:rFonts w:hint="eastAsia"/>
                <w:sz w:val="21"/>
                <w:szCs w:val="21"/>
                <w:lang w:val="en-US" w:eastAsia="zh-CN"/>
              </w:rPr>
              <w:t>没有</w:t>
            </w:r>
            <w:r>
              <w:rPr>
                <w:rFonts w:hint="eastAsia"/>
                <w:sz w:val="21"/>
                <w:szCs w:val="21"/>
              </w:rPr>
              <w:t>监视和测量设备，对检查用表格及记录进行受控管理。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知识</w:t>
            </w:r>
          </w:p>
          <w:p>
            <w:pPr>
              <w:spacing w:line="360" w:lineRule="auto"/>
              <w:ind w:firstLine="420" w:firstLineChars="200"/>
              <w:rPr>
                <w:sz w:val="21"/>
                <w:szCs w:val="21"/>
              </w:rPr>
            </w:pPr>
            <w:r>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环保设施：</w:t>
            </w:r>
          </w:p>
          <w:p>
            <w:pPr>
              <w:spacing w:line="360" w:lineRule="auto"/>
              <w:ind w:firstLine="210" w:firstLineChars="100"/>
              <w:rPr>
                <w:rFonts w:hint="eastAsia" w:ascii="宋体" w:hAnsi="宋体"/>
                <w:b/>
                <w:sz w:val="21"/>
                <w:szCs w:val="21"/>
              </w:rPr>
            </w:pPr>
            <w:r>
              <w:rPr>
                <w:rFonts w:hint="eastAsia"/>
                <w:sz w:val="21"/>
                <w:szCs w:val="21"/>
              </w:rPr>
              <w:t>分类垃圾桶。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职业健康安全设施：</w:t>
            </w:r>
          </w:p>
          <w:p>
            <w:pPr>
              <w:spacing w:line="360" w:lineRule="auto"/>
              <w:rPr>
                <w:rFonts w:hint="eastAsia" w:ascii="宋体" w:hAnsi="宋体"/>
                <w:b/>
                <w:sz w:val="21"/>
                <w:szCs w:val="21"/>
              </w:rPr>
            </w:pPr>
            <w:r>
              <w:rPr>
                <w:rFonts w:hint="eastAsia"/>
                <w:szCs w:val="22"/>
              </w:rPr>
              <w:t xml:space="preserve"> </w:t>
            </w:r>
            <w:r>
              <w:rPr>
                <w:rFonts w:hint="eastAsia"/>
                <w:szCs w:val="22"/>
                <w:lang w:val="en-US" w:eastAsia="zh-CN"/>
              </w:rPr>
              <w:t xml:space="preserve"> </w:t>
            </w:r>
            <w:r>
              <w:rPr>
                <w:rFonts w:hint="eastAsia"/>
                <w:sz w:val="21"/>
                <w:szCs w:val="21"/>
              </w:rPr>
              <w:t>配备灭火器。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p>
          <w:p>
            <w:pPr>
              <w:spacing w:line="300" w:lineRule="exact"/>
              <w:ind w:left="1" w:firstLine="210" w:firstLineChars="100"/>
              <w:rPr>
                <w:rFonts w:hint="eastAsia" w:ascii="宋体" w:hAnsi="宋体"/>
                <w:b/>
                <w:sz w:val="21"/>
                <w:szCs w:val="21"/>
              </w:rPr>
            </w:pPr>
            <w:r>
              <w:rPr>
                <w:rFonts w:hint="eastAsia"/>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sz w:val="21"/>
                <w:szCs w:val="21"/>
              </w:rPr>
              <w:t>培训、会议；</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sz w:val="21"/>
                <w:szCs w:val="21"/>
              </w:rPr>
              <w:t>沟通畅通；</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sz w:val="21"/>
                <w:szCs w:val="21"/>
              </w:rPr>
              <w:t>定期组织顾客满意度调查和走访。</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sz w:val="21"/>
                <w:szCs w:val="21"/>
              </w:rPr>
              <w:t>参加相关部门组织的会议，接收相关部门下达的通知并在公司内部沟通传达。</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sz w:val="21"/>
                <w:szCs w:val="21"/>
              </w:rPr>
              <w:t>对供方进行了环保告知。</w:t>
            </w:r>
          </w:p>
          <w:p>
            <w:pPr>
              <w:spacing w:line="360" w:lineRule="auto"/>
              <w:rPr>
                <w:szCs w:val="22"/>
              </w:rPr>
            </w:pPr>
            <w:r>
              <w:rPr>
                <w:rFonts w:hint="eastAsia" w:ascii="楷体_GB2312" w:eastAsia="楷体_GB2312"/>
                <w:b/>
                <w:color w:val="000000" w:themeColor="text1"/>
                <w:sz w:val="20"/>
                <w:szCs w:val="20"/>
              </w:rPr>
              <w:t>OHSMS事务代表协商和交流的情况（OHSMS填写）：</w:t>
            </w:r>
            <w:r>
              <w:rPr>
                <w:rFonts w:hint="eastAsia"/>
                <w:sz w:val="21"/>
                <w:szCs w:val="21"/>
              </w:rPr>
              <w:t>公司经选举确定了员工代表是蔺江山，</w:t>
            </w:r>
          </w:p>
          <w:p>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60" w:lineRule="auto"/>
              <w:rPr>
                <w:rFonts w:ascii="宋体" w:hAnsi="宋体"/>
                <w:b/>
                <w:sz w:val="21"/>
                <w:szCs w:val="21"/>
              </w:rPr>
            </w:pPr>
            <w:r>
              <w:rPr>
                <w:rFonts w:hint="eastAsia" w:ascii="楷体_GB2312" w:eastAsia="楷体_GB2312"/>
                <w:b/>
                <w:color w:val="000000" w:themeColor="text1"/>
                <w:szCs w:val="21"/>
              </w:rPr>
              <w:t>与相关方协商的情况（OHSMS填写）：</w:t>
            </w:r>
            <w:r>
              <w:rPr>
                <w:rFonts w:hint="eastAsia"/>
                <w:sz w:val="21"/>
                <w:szCs w:val="21"/>
              </w:rPr>
              <w:t>对供方进行了安全告知。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2"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360" w:lineRule="auto"/>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360" w:lineRule="auto"/>
              <w:ind w:firstLine="420" w:firstLineChars="200"/>
              <w:rPr>
                <w:rFonts w:hint="eastAsia" w:ascii="宋体" w:hAnsi="宋体"/>
                <w:sz w:val="21"/>
                <w:szCs w:val="21"/>
                <w:lang w:eastAsia="zh-CN"/>
              </w:rPr>
            </w:pPr>
            <w:r>
              <w:rPr>
                <w:rFonts w:hint="eastAsia" w:ascii="宋体" w:hAnsi="宋体" w:cs="宋体"/>
                <w:sz w:val="21"/>
                <w:szCs w:val="21"/>
              </w:rPr>
              <w:t>公司主要从事</w:t>
            </w:r>
            <w:r>
              <w:rPr>
                <w:rFonts w:hint="eastAsia" w:ascii="宋体" w:hAnsi="宋体" w:eastAsia="宋体" w:cs="宋体"/>
                <w:b w:val="0"/>
                <w:bCs/>
                <w:sz w:val="21"/>
                <w:szCs w:val="21"/>
              </w:rPr>
              <w:t>音体美器材、教学仪器、课桌椅床、办公用品、书架、幼儿玩具（对儿童有危害的除外）的销售等</w:t>
            </w:r>
            <w:r>
              <w:rPr>
                <w:rFonts w:hint="eastAsia" w:ascii="宋体" w:hAnsi="宋体"/>
                <w:sz w:val="21"/>
                <w:szCs w:val="21"/>
                <w:lang w:eastAsia="zh-CN"/>
              </w:rPr>
              <w:t>。</w:t>
            </w:r>
          </w:p>
          <w:p>
            <w:pPr>
              <w:spacing w:line="360" w:lineRule="auto"/>
              <w:ind w:firstLine="420" w:firstLineChars="200"/>
              <w:rPr>
                <w:rFonts w:hint="eastAsia"/>
                <w:sz w:val="21"/>
                <w:szCs w:val="21"/>
              </w:rPr>
            </w:pPr>
            <w:r>
              <w:rPr>
                <w:rFonts w:hint="eastAsia"/>
                <w:sz w:val="21"/>
                <w:szCs w:val="21"/>
              </w:rPr>
              <w:t>销售流程</w:t>
            </w:r>
            <w:r>
              <w:rPr>
                <w:rFonts w:hint="eastAsia"/>
                <w:sz w:val="21"/>
                <w:szCs w:val="21"/>
                <w:lang w:val="en-US" w:eastAsia="zh-CN"/>
              </w:rPr>
              <w:t>为</w:t>
            </w:r>
            <w:r>
              <w:rPr>
                <w:rFonts w:hint="eastAsia"/>
                <w:sz w:val="21"/>
                <w:szCs w:val="21"/>
              </w:rPr>
              <w:t>：</w:t>
            </w:r>
            <w:r>
              <w:rPr>
                <w:rFonts w:hint="eastAsia" w:ascii="宋体" w:hAnsi="宋体" w:cs="宋体"/>
                <w:sz w:val="21"/>
                <w:szCs w:val="21"/>
              </w:rPr>
              <w:t>招投标/业务洽谈→合同评审→采购→检验→交付；</w:t>
            </w:r>
          </w:p>
          <w:p>
            <w:pPr>
              <w:spacing w:line="360" w:lineRule="auto"/>
              <w:ind w:firstLine="420" w:firstLineChars="200"/>
              <w:rPr>
                <w:rFonts w:ascii="宋体" w:hAnsi="宋体" w:cs="宋体"/>
                <w:sz w:val="21"/>
                <w:szCs w:val="21"/>
              </w:rPr>
            </w:pPr>
            <w:r>
              <w:rPr>
                <w:rFonts w:hint="eastAsia" w:ascii="宋体" w:hAnsi="宋体" w:cs="宋体"/>
                <w:sz w:val="21"/>
                <w:szCs w:val="21"/>
              </w:rPr>
              <w:t>特殊过程是销售服务，提供特殊过程的《特殊过程确认记录》，对销售过程进行了过程确认。</w:t>
            </w:r>
          </w:p>
          <w:p>
            <w:pPr>
              <w:spacing w:line="360" w:lineRule="auto"/>
              <w:ind w:firstLine="420" w:firstLineChars="200"/>
              <w:rPr>
                <w:rFonts w:ascii="宋体" w:hAnsi="宋体" w:cs="宋体"/>
                <w:sz w:val="21"/>
                <w:szCs w:val="21"/>
              </w:rPr>
            </w:pPr>
            <w:r>
              <w:rPr>
                <w:rFonts w:hint="eastAsia" w:ascii="宋体" w:hAnsi="宋体" w:cs="宋体"/>
                <w:sz w:val="21"/>
                <w:szCs w:val="21"/>
              </w:rPr>
              <w:t>公司依据客户订单，下达采购计划，进行销售服务、质量及管理工作协调。</w:t>
            </w:r>
          </w:p>
          <w:p>
            <w:pPr>
              <w:spacing w:line="360" w:lineRule="auto"/>
              <w:ind w:firstLine="420" w:firstLineChars="200"/>
              <w:rPr>
                <w:rFonts w:ascii="宋体" w:hAnsi="宋体" w:cs="宋体"/>
                <w:sz w:val="21"/>
                <w:szCs w:val="21"/>
              </w:rPr>
            </w:pPr>
            <w:r>
              <w:rPr>
                <w:rFonts w:hint="eastAsia" w:ascii="宋体" w:hAnsi="宋体" w:cs="宋体"/>
                <w:sz w:val="21"/>
                <w:szCs w:val="21"/>
              </w:rPr>
              <w:t>通过采购产品检验、销售过程检验等对产品质量、销售服务质量等进行监控。</w:t>
            </w:r>
          </w:p>
          <w:p>
            <w:pPr>
              <w:spacing w:line="360" w:lineRule="auto"/>
              <w:ind w:firstLine="420" w:firstLineChars="200"/>
              <w:rPr>
                <w:rFonts w:ascii="宋体" w:hAnsi="宋体" w:cs="宋体"/>
                <w:sz w:val="21"/>
                <w:szCs w:val="21"/>
              </w:rPr>
            </w:pPr>
            <w:r>
              <w:rPr>
                <w:rFonts w:hint="eastAsia" w:ascii="宋体" w:hAnsi="宋体" w:cs="宋体"/>
                <w:sz w:val="21"/>
                <w:szCs w:val="21"/>
              </w:rPr>
              <w:t>为销售服务过程提供了适宜的设备及环境，配备了胜任的人员。</w:t>
            </w:r>
          </w:p>
          <w:p>
            <w:pPr>
              <w:spacing w:line="360" w:lineRule="auto"/>
              <w:ind w:firstLine="420" w:firstLineChars="200"/>
              <w:rPr>
                <w:rFonts w:hint="eastAsia"/>
                <w:sz w:val="21"/>
                <w:szCs w:val="21"/>
              </w:rPr>
            </w:pPr>
            <w:r>
              <w:rPr>
                <w:rFonts w:hint="eastAsia" w:ascii="宋体" w:hAnsi="宋体" w:cs="宋体"/>
                <w:sz w:val="21"/>
                <w:szCs w:val="21"/>
              </w:rPr>
              <w:t>对供方进行调查评价。</w:t>
            </w:r>
          </w:p>
          <w:p>
            <w:pPr>
              <w:spacing w:line="240" w:lineRule="exact"/>
              <w:rPr>
                <w:rFonts w:hint="eastAsia" w:ascii="宋体" w:hAns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2"/>
              </w:numPr>
              <w:spacing w:line="360" w:lineRule="auto"/>
              <w:ind w:left="0" w:leftChars="0" w:firstLine="0" w:firstLineChars="0"/>
              <w:jc w:val="left"/>
              <w:rPr>
                <w:rFonts w:hint="eastAsia" w:ascii="宋体" w:hAnsi="宋体"/>
                <w:b/>
                <w:sz w:val="21"/>
                <w:szCs w:val="21"/>
              </w:rPr>
            </w:pP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60" w:lineRule="auto"/>
              <w:ind w:firstLine="420" w:firstLineChars="200"/>
              <w:rPr>
                <w:rFonts w:hint="eastAsia"/>
                <w:sz w:val="21"/>
                <w:szCs w:val="21"/>
              </w:rPr>
            </w:pPr>
            <w:r>
              <w:rPr>
                <w:rFonts w:hint="eastAsia"/>
                <w:sz w:val="21"/>
                <w:szCs w:val="21"/>
              </w:rPr>
              <w:t>企业执行的法律法规和标准规范：</w:t>
            </w:r>
            <w:r>
              <w:rPr>
                <w:rFonts w:hint="eastAsia" w:ascii="宋体" w:hAnsi="宋体" w:eastAsia="宋体" w:cs="宋体"/>
                <w:sz w:val="21"/>
                <w:szCs w:val="21"/>
              </w:rPr>
              <w:t>GB19272-2011</w:t>
            </w:r>
            <w:r>
              <w:rPr>
                <w:rFonts w:hint="eastAsia" w:ascii="宋体" w:hAnsi="宋体" w:eastAsia="宋体" w:cs="宋体"/>
                <w:sz w:val="21"/>
                <w:szCs w:val="21"/>
                <w:lang w:eastAsia="zh-CN"/>
              </w:rPr>
              <w:t>《</w:t>
            </w:r>
            <w:r>
              <w:rPr>
                <w:rFonts w:hint="eastAsia" w:ascii="宋体" w:hAnsi="宋体" w:eastAsia="宋体" w:cs="宋体"/>
                <w:sz w:val="21"/>
                <w:szCs w:val="21"/>
              </w:rPr>
              <w:t>室外健身器材的安全  通用要求</w:t>
            </w:r>
            <w:r>
              <w:rPr>
                <w:rFonts w:hint="eastAsia" w:ascii="宋体" w:hAnsi="宋体" w:eastAsia="宋体" w:cs="宋体"/>
                <w:sz w:val="21"/>
                <w:szCs w:val="21"/>
                <w:lang w:eastAsia="zh-CN"/>
              </w:rPr>
              <w:t>》、</w:t>
            </w:r>
            <w:r>
              <w:rPr>
                <w:rFonts w:hint="eastAsia" w:ascii="宋体" w:hAnsi="宋体" w:eastAsia="宋体" w:cs="宋体"/>
                <w:sz w:val="21"/>
                <w:szCs w:val="21"/>
              </w:rPr>
              <w:tab/>
            </w:r>
            <w:r>
              <w:rPr>
                <w:rFonts w:hint="eastAsia" w:ascii="宋体" w:hAnsi="宋体" w:eastAsia="宋体" w:cs="宋体"/>
                <w:sz w:val="21"/>
                <w:szCs w:val="21"/>
              </w:rPr>
              <w:t>GB/T19851.1-2005</w:t>
            </w:r>
            <w:r>
              <w:rPr>
                <w:rFonts w:hint="eastAsia" w:ascii="宋体" w:hAnsi="宋体" w:eastAsia="宋体" w:cs="宋体"/>
                <w:sz w:val="21"/>
                <w:szCs w:val="21"/>
                <w:lang w:eastAsia="zh-CN"/>
              </w:rPr>
              <w:t>《</w:t>
            </w:r>
            <w:r>
              <w:rPr>
                <w:rFonts w:hint="eastAsia" w:ascii="宋体" w:hAnsi="宋体" w:eastAsia="宋体" w:cs="宋体"/>
                <w:sz w:val="21"/>
                <w:szCs w:val="21"/>
              </w:rPr>
              <w:t>中小学体育器材和场地 第1部分 健身器材</w:t>
            </w:r>
            <w:r>
              <w:rPr>
                <w:rFonts w:hint="eastAsia" w:ascii="宋体" w:hAnsi="宋体" w:eastAsia="宋体" w:cs="宋体"/>
                <w:sz w:val="21"/>
                <w:szCs w:val="21"/>
                <w:lang w:eastAsia="zh-CN"/>
              </w:rPr>
              <w:t>》、</w:t>
            </w:r>
            <w:r>
              <w:rPr>
                <w:rFonts w:hint="eastAsia" w:ascii="宋体" w:hAnsi="宋体" w:eastAsia="宋体" w:cs="宋体"/>
                <w:sz w:val="21"/>
                <w:szCs w:val="21"/>
              </w:rPr>
              <w:t>GB/T19851.3-2005</w:t>
            </w:r>
            <w:r>
              <w:rPr>
                <w:rFonts w:hint="eastAsia" w:ascii="宋体" w:hAnsi="宋体" w:eastAsia="宋体" w:cs="宋体"/>
                <w:sz w:val="21"/>
                <w:szCs w:val="21"/>
                <w:lang w:eastAsia="zh-CN"/>
              </w:rPr>
              <w:t>《</w:t>
            </w:r>
            <w:r>
              <w:rPr>
                <w:rFonts w:hint="eastAsia" w:ascii="宋体" w:hAnsi="宋体" w:eastAsia="宋体" w:cs="宋体"/>
                <w:sz w:val="21"/>
                <w:szCs w:val="21"/>
              </w:rPr>
              <w:t>中小学体育器材和场地 第2部分 篮球架</w:t>
            </w:r>
            <w:r>
              <w:rPr>
                <w:rFonts w:hint="eastAsia" w:ascii="宋体" w:hAnsi="宋体" w:eastAsia="宋体" w:cs="宋体"/>
                <w:sz w:val="21"/>
                <w:szCs w:val="21"/>
                <w:lang w:eastAsia="zh-CN"/>
              </w:rPr>
              <w:t>》、</w:t>
            </w:r>
            <w:r>
              <w:rPr>
                <w:rFonts w:hint="eastAsia" w:ascii="宋体" w:hAnsi="宋体" w:eastAsia="宋体" w:cs="宋体"/>
                <w:sz w:val="21"/>
                <w:szCs w:val="21"/>
              </w:rPr>
              <w:tab/>
            </w:r>
            <w:r>
              <w:rPr>
                <w:rFonts w:hint="eastAsia" w:ascii="宋体" w:hAnsi="宋体" w:eastAsia="宋体" w:cs="宋体"/>
                <w:sz w:val="21"/>
                <w:szCs w:val="21"/>
              </w:rPr>
              <w:t>GB/T1-9851.7-2005</w:t>
            </w:r>
            <w:r>
              <w:rPr>
                <w:rFonts w:hint="eastAsia" w:ascii="宋体" w:hAnsi="宋体" w:eastAsia="宋体" w:cs="宋体"/>
                <w:sz w:val="21"/>
                <w:szCs w:val="21"/>
                <w:lang w:eastAsia="zh-CN"/>
              </w:rPr>
              <w:t>《</w:t>
            </w:r>
            <w:r>
              <w:rPr>
                <w:rFonts w:hint="eastAsia" w:ascii="宋体" w:hAnsi="宋体" w:eastAsia="宋体" w:cs="宋体"/>
                <w:sz w:val="21"/>
                <w:szCs w:val="21"/>
              </w:rPr>
              <w:t>中小学体育器材和场地 第2部分 乒乓球台</w:t>
            </w:r>
            <w:r>
              <w:rPr>
                <w:rFonts w:hint="eastAsia" w:ascii="宋体" w:hAnsi="宋体" w:eastAsia="宋体" w:cs="宋体"/>
                <w:sz w:val="21"/>
                <w:szCs w:val="21"/>
                <w:lang w:eastAsia="zh-CN"/>
              </w:rPr>
              <w:t>》、</w:t>
            </w:r>
            <w:r>
              <w:rPr>
                <w:rFonts w:hint="eastAsia" w:ascii="宋体" w:hAnsi="宋体" w:eastAsia="宋体" w:cs="宋体"/>
                <w:sz w:val="21"/>
                <w:szCs w:val="21"/>
              </w:rPr>
              <w:t>GB17498.1-2008</w:t>
            </w:r>
            <w:r>
              <w:rPr>
                <w:rFonts w:hint="eastAsia" w:ascii="宋体" w:hAnsi="宋体" w:eastAsia="宋体" w:cs="宋体"/>
                <w:sz w:val="21"/>
                <w:szCs w:val="21"/>
                <w:lang w:eastAsia="zh-CN"/>
              </w:rPr>
              <w:t>《</w:t>
            </w:r>
            <w:r>
              <w:rPr>
                <w:rFonts w:hint="eastAsia" w:ascii="宋体" w:hAnsi="宋体" w:eastAsia="宋体" w:cs="宋体"/>
                <w:sz w:val="21"/>
                <w:szCs w:val="21"/>
              </w:rPr>
              <w:t>固定式健身器材 第1部分 通用安全要求和试验方法</w:t>
            </w:r>
            <w:r>
              <w:rPr>
                <w:rFonts w:hint="eastAsia" w:ascii="宋体" w:hAnsi="宋体" w:eastAsia="宋体" w:cs="宋体"/>
                <w:sz w:val="21"/>
                <w:szCs w:val="21"/>
                <w:lang w:eastAsia="zh-CN"/>
              </w:rPr>
              <w:t>》</w:t>
            </w:r>
            <w:r>
              <w:rPr>
                <w:rFonts w:hint="eastAsia"/>
                <w:sz w:val="21"/>
                <w:szCs w:val="21"/>
                <w:lang w:val="en-US" w:eastAsia="zh-CN"/>
              </w:rPr>
              <w:t>等及</w:t>
            </w:r>
            <w:r>
              <w:rPr>
                <w:rFonts w:hint="eastAsia" w:ascii="宋体" w:hAnsi="宋体" w:cs="宋体"/>
                <w:sz w:val="21"/>
                <w:szCs w:val="21"/>
              </w:rPr>
              <w:t>和客户要求。</w:t>
            </w:r>
          </w:p>
          <w:p>
            <w:pPr>
              <w:spacing w:line="360" w:lineRule="auto"/>
              <w:ind w:firstLine="420" w:firstLineChars="200"/>
              <w:rPr>
                <w:rFonts w:ascii="宋体" w:hAnsi="宋体"/>
                <w:b/>
                <w:sz w:val="21"/>
                <w:szCs w:val="21"/>
              </w:rPr>
            </w:pPr>
            <w:r>
              <w:rPr>
                <w:rFonts w:hint="eastAsia" w:ascii="宋体" w:hAnsi="宋体" w:cs="宋体"/>
                <w:sz w:val="21"/>
                <w:szCs w:val="21"/>
              </w:rPr>
              <w:t>提供了产品检验记录，产品检验合格，满足顾客要求。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ind w:firstLine="420" w:firstLineChars="200"/>
              <w:rPr>
                <w:rFonts w:ascii="宋体" w:hAnsi="宋体" w:cs="宋体"/>
                <w:sz w:val="21"/>
                <w:szCs w:val="21"/>
              </w:rPr>
            </w:pPr>
            <w:r>
              <w:rPr>
                <w:rFonts w:hint="eastAsia" w:ascii="宋体" w:hAnsi="宋体" w:cs="宋体"/>
                <w:sz w:val="21"/>
                <w:szCs w:val="21"/>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2"/>
              </w:numPr>
              <w:spacing w:line="360" w:lineRule="auto"/>
              <w:ind w:left="0" w:leftChars="0" w:firstLine="0" w:firstLineChars="0"/>
              <w:rPr>
                <w:rFonts w:hint="eastAsia" w:ascii="宋体" w:hAnsi="宋体" w:cs="宋体"/>
                <w:szCs w:val="22"/>
              </w:rPr>
            </w:pP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numPr>
                <w:ilvl w:val="0"/>
                <w:numId w:val="0"/>
              </w:numPr>
              <w:spacing w:line="360" w:lineRule="auto"/>
              <w:ind w:leftChars="0" w:firstLine="420" w:firstLineChars="200"/>
              <w:rPr>
                <w:rFonts w:ascii="宋体" w:hAnsi="宋体"/>
                <w:b/>
                <w:sz w:val="21"/>
                <w:szCs w:val="21"/>
              </w:rPr>
            </w:pPr>
            <w:r>
              <w:rPr>
                <w:rFonts w:hint="eastAsia" w:ascii="宋体" w:hAnsi="宋体" w:cs="宋体"/>
                <w:sz w:val="21"/>
                <w:szCs w:val="21"/>
              </w:rPr>
              <w:t>提供的《不合格品控制程序》中规定了对不合格品的标识、记录、隔离、记录和处置的控制要求。采购检验中发现的不合格，要求做好相应的标识，并及时通知采购人员作退/换货处理。</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360" w:lineRule="auto"/>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1、废水管控：企业无工业废水，厂区生活废水流入市政管网。</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2、废气管控：无废气排放。</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3、噪声管控：无噪声排放。</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4、固废管控：办公废旧硒鼓/墨盒，由供应商回收。生活垃圾由当地环卫所处理，公司缴纳处理费。</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能源资源管控：注意节水、节电，人走关闭设备和照明开关，现场未发现有漏水和浪费电能的现象。</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pPr>
              <w:spacing w:line="360" w:lineRule="auto"/>
              <w:rPr>
                <w:rFonts w:ascii="宋体" w:hAnsi="宋体"/>
                <w:b/>
                <w:sz w:val="21"/>
                <w:szCs w:val="21"/>
              </w:rPr>
            </w:pPr>
            <w:r>
              <w:rPr>
                <w:rFonts w:hint="eastAsia" w:ascii="宋体" w:hAnsi="宋体" w:cs="宋体"/>
                <w:sz w:val="21"/>
                <w:szCs w:val="21"/>
              </w:rPr>
              <w:t>对相关方进行了环保要求告知。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360" w:lineRule="auto"/>
              <w:ind w:left="0" w:leftChars="0" w:firstLine="0" w:firstLineChars="0"/>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1、潜在火灾管控：配备灭火器。</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2、安全防护：公司给员工发放手套、口罩、工作服等劳保用品，现场电线布线合理，漏电保护器状态良好。</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3、为主要长期员工上社保、工伤保险。</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4、为环境和职业健康安全管理体系运行提供了财务支持。</w:t>
            </w:r>
          </w:p>
          <w:p>
            <w:pPr>
              <w:numPr>
                <w:ilvl w:val="0"/>
                <w:numId w:val="0"/>
              </w:numPr>
              <w:spacing w:line="360" w:lineRule="auto"/>
              <w:ind w:leftChars="0"/>
              <w:rPr>
                <w:rFonts w:hint="eastAsia" w:ascii="宋体" w:hAnsi="宋体"/>
                <w:b/>
                <w:sz w:val="21"/>
                <w:szCs w:val="21"/>
              </w:rPr>
            </w:pPr>
            <w:r>
              <w:rPr>
                <w:rFonts w:hint="eastAsia" w:ascii="宋体" w:hAnsi="宋体" w:cs="宋体"/>
                <w:sz w:val="21"/>
                <w:szCs w:val="21"/>
              </w:rPr>
              <w:t>5、员工饮用水为纯净水通过饮水机饮用。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ind w:left="0" w:leftChars="0" w:firstLine="0" w:firstLineChars="0"/>
              <w:rPr>
                <w:rFonts w:ascii="宋体" w:hAnsi="宋体"/>
                <w:b/>
                <w:sz w:val="21"/>
                <w:szCs w:val="21"/>
              </w:rPr>
            </w:pP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numPr>
                <w:ilvl w:val="0"/>
                <w:numId w:val="0"/>
              </w:numPr>
              <w:spacing w:line="240" w:lineRule="exact"/>
              <w:ind w:leftChars="0"/>
              <w:rPr>
                <w:rFonts w:ascii="宋体" w:hAnsi="宋体"/>
                <w:b/>
                <w:sz w:val="21"/>
                <w:szCs w:val="21"/>
              </w:rPr>
            </w:pPr>
          </w:p>
          <w:p>
            <w:pPr>
              <w:spacing w:line="240" w:lineRule="auto"/>
              <w:ind w:firstLine="420" w:firstLineChars="200"/>
              <w:rPr>
                <w:rFonts w:ascii="宋体" w:hAnsi="宋体"/>
                <w:b/>
                <w:sz w:val="21"/>
                <w:szCs w:val="21"/>
              </w:rPr>
            </w:pPr>
            <w:r>
              <w:rPr>
                <w:rFonts w:hint="eastAsia" w:ascii="宋体" w:hAnsi="宋体"/>
                <w:b w:val="0"/>
                <w:bCs/>
                <w:sz w:val="21"/>
                <w:szCs w:val="21"/>
              </w:rPr>
              <w:t>制定了火灾、触电、人身伤害等应急预案，2019.12.10进行了应急演练，对预案可行性进行了评价</w:t>
            </w:r>
            <w:r>
              <w:rPr>
                <w:rFonts w:hint="eastAsia" w:ascii="宋体" w:hAnsi="宋体"/>
                <w:b w:val="0"/>
                <w:bCs/>
                <w:sz w:val="21"/>
                <w:szCs w:val="21"/>
                <w:lang w:eastAsia="zh-CN"/>
              </w:rPr>
              <w:t>，</w:t>
            </w:r>
            <w:r>
              <w:rPr>
                <w:rFonts w:hint="eastAsia" w:ascii="宋体" w:hAnsi="宋体"/>
                <w:b w:val="0"/>
                <w:bCs/>
                <w:sz w:val="21"/>
                <w:szCs w:val="21"/>
              </w:rPr>
              <w:t>配有消防器材。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hint="eastAsia" w:ascii="宋体" w:hAnsi="宋体"/>
                <w:sz w:val="21"/>
                <w:szCs w:val="21"/>
              </w:rPr>
            </w:pPr>
          </w:p>
          <w:p>
            <w:pPr>
              <w:spacing w:line="240" w:lineRule="exact"/>
              <w:ind w:firstLine="105" w:firstLineChars="50"/>
              <w:rPr>
                <w:rFonts w:ascii="宋体" w:hAnsi="宋体"/>
                <w:b/>
                <w:sz w:val="21"/>
                <w:szCs w:val="21"/>
              </w:rPr>
            </w:pPr>
            <w:r>
              <w:rPr>
                <w:rFonts w:hint="eastAsia" w:ascii="宋体" w:hAnsi="宋体"/>
                <w:sz w:val="21"/>
                <w:szCs w:val="21"/>
              </w:rPr>
              <w:t>2020.1.</w:t>
            </w:r>
            <w:r>
              <w:rPr>
                <w:rFonts w:hint="eastAsia" w:ascii="宋体" w:hAnsi="宋体"/>
                <w:sz w:val="21"/>
                <w:szCs w:val="21"/>
                <w:lang w:val="en-US" w:eastAsia="zh-CN"/>
              </w:rPr>
              <w:t>20</w:t>
            </w:r>
            <w:r>
              <w:rPr>
                <w:rFonts w:hint="eastAsia" w:ascii="宋体" w:hAnsi="宋体" w:cs="宋体"/>
                <w:sz w:val="21"/>
                <w:szCs w:val="21"/>
              </w:rPr>
              <w:t>对质量/环境/职业健康安全目标指标进行了检查，能达标。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hint="eastAsia" w:ascii="宋体" w:hAnsi="宋体"/>
                <w:b/>
                <w:sz w:val="21"/>
                <w:szCs w:val="21"/>
              </w:rPr>
            </w:pPr>
          </w:p>
          <w:p>
            <w:pPr>
              <w:numPr>
                <w:ilvl w:val="0"/>
                <w:numId w:val="0"/>
              </w:numPr>
              <w:spacing w:line="240" w:lineRule="auto"/>
              <w:ind w:leftChars="-50"/>
              <w:jc w:val="left"/>
              <w:rPr>
                <w:rFonts w:hint="eastAsia" w:ascii="宋体" w:hAnsi="宋体"/>
                <w:b/>
                <w:sz w:val="21"/>
                <w:szCs w:val="21"/>
              </w:rPr>
            </w:pPr>
            <w:r>
              <w:rPr>
                <w:rFonts w:hint="eastAsia" w:ascii="宋体" w:hAnsi="宋体"/>
                <w:sz w:val="21"/>
                <w:szCs w:val="21"/>
              </w:rPr>
              <w:t>企业主要通过开展顾客满意度调查来收集并了解顾客满意的信息，查见顾客满意程度调查表。调查表从产品质量、价格、交付时间、售后服务等方面对顾客满意度进行了调查，统计结果表明顾客满意综合率为9</w:t>
            </w:r>
            <w:r>
              <w:rPr>
                <w:rFonts w:hint="eastAsia" w:ascii="宋体" w:hAnsi="宋体"/>
                <w:sz w:val="21"/>
                <w:szCs w:val="21"/>
                <w:lang w:val="en-US" w:eastAsia="zh-CN"/>
              </w:rPr>
              <w:t>8</w:t>
            </w:r>
            <w:r>
              <w:rPr>
                <w:rFonts w:hint="eastAsia" w:ascii="宋体" w:hAnsi="宋体"/>
                <w:sz w:val="21"/>
                <w:szCs w:val="21"/>
              </w:rPr>
              <w:t>%，达到了公司质量目标。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rPr>
                <w:b/>
                <w:color w:val="000000" w:themeColor="text1"/>
                <w:sz w:val="20"/>
                <w:szCs w:val="20"/>
              </w:rPr>
            </w:pPr>
            <w:r>
              <w:rPr>
                <w:rFonts w:hint="eastAsia"/>
                <w:b/>
                <w:color w:val="000000" w:themeColor="text1"/>
                <w:sz w:val="20"/>
                <w:szCs w:val="20"/>
              </w:rPr>
              <w:t>了解内审的策划;</w:t>
            </w:r>
          </w:p>
          <w:p>
            <w:pPr>
              <w:spacing w:line="360" w:lineRule="auto"/>
              <w:jc w:val="left"/>
              <w:rPr>
                <w:b/>
                <w:color w:val="000000" w:themeColor="text1"/>
                <w:sz w:val="20"/>
                <w:szCs w:val="20"/>
              </w:rPr>
            </w:pPr>
            <w:r>
              <w:rPr>
                <w:rFonts w:hint="eastAsia"/>
                <w:b/>
                <w:color w:val="000000" w:themeColor="text1"/>
                <w:sz w:val="20"/>
                <w:szCs w:val="20"/>
              </w:rPr>
              <w:t xml:space="preserve"> </w:t>
            </w:r>
            <w:r>
              <w:rPr>
                <w:rFonts w:hint="eastAsia" w:ascii="宋体" w:hAnsi="宋体" w:cs="宋体"/>
                <w:szCs w:val="22"/>
              </w:rPr>
              <w:t xml:space="preserve"> </w:t>
            </w:r>
            <w:r>
              <w:rPr>
                <w:rFonts w:hint="eastAsia" w:ascii="宋体" w:hAnsi="宋体" w:cs="宋体"/>
                <w:sz w:val="21"/>
                <w:szCs w:val="21"/>
              </w:rPr>
              <w:t>每年一次，本次2020年1月3日日内审。</w:t>
            </w:r>
          </w:p>
          <w:p>
            <w:pPr>
              <w:spacing w:line="360" w:lineRule="auto"/>
              <w:rPr>
                <w:b/>
                <w:color w:val="000000" w:themeColor="text1"/>
                <w:sz w:val="20"/>
                <w:szCs w:val="20"/>
              </w:rPr>
            </w:pPr>
            <w:r>
              <w:rPr>
                <w:rFonts w:hint="eastAsia"/>
                <w:b/>
                <w:color w:val="000000" w:themeColor="text1"/>
                <w:sz w:val="20"/>
                <w:szCs w:val="20"/>
              </w:rPr>
              <w:t xml:space="preserve">了解内审是否覆盖了管理体系范围内的活动及标准的要求; </w:t>
            </w:r>
          </w:p>
          <w:p>
            <w:pPr>
              <w:spacing w:line="360" w:lineRule="auto"/>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覆盖。</w:t>
            </w:r>
          </w:p>
          <w:p>
            <w:pPr>
              <w:spacing w:line="360" w:lineRule="auto"/>
              <w:rPr>
                <w:rFonts w:hint="eastAsia" w:eastAsia="宋体"/>
                <w:b/>
                <w:color w:val="000000" w:themeColor="text1"/>
                <w:sz w:val="20"/>
                <w:szCs w:val="20"/>
                <w:lang w:eastAsia="zh-CN"/>
              </w:rPr>
            </w:pPr>
            <w:r>
              <w:rPr>
                <w:rFonts w:hint="eastAsia"/>
                <w:b/>
                <w:color w:val="000000" w:themeColor="text1"/>
                <w:sz w:val="20"/>
                <w:szCs w:val="20"/>
              </w:rPr>
              <w:t>了解内审结论是什么？</w:t>
            </w:r>
          </w:p>
          <w:p>
            <w:pPr>
              <w:spacing w:line="360" w:lineRule="auto"/>
              <w:ind w:firstLine="420" w:firstLineChars="200"/>
              <w:rPr>
                <w:rFonts w:ascii="宋体" w:hAnsi="宋体"/>
                <w:b/>
                <w:sz w:val="21"/>
                <w:szCs w:val="21"/>
              </w:rPr>
            </w:pPr>
            <w:r>
              <w:rPr>
                <w:rFonts w:hint="eastAsia" w:asciiTheme="minorEastAsia" w:hAnsiTheme="minorEastAsia" w:eastAsiaTheme="minorEastAsia"/>
                <w:sz w:val="21"/>
                <w:szCs w:val="21"/>
              </w:rPr>
              <w:t>本公司质量/环境/职业健康安全三合一管理体系符合公司管理手册、程序性文件、ISO9001:2015、ISO14001:2015、ISO45001:2018的要求，本公司质量/环境/职业健康安全三合一管理体系得到了有效实施，运行实施保持了适宜性。</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rPr>
                <w:rFonts w:hint="eastAsia" w:eastAsia="宋体"/>
                <w:b/>
                <w:color w:val="000000" w:themeColor="text1"/>
                <w:sz w:val="20"/>
                <w:szCs w:val="20"/>
                <w:lang w:eastAsia="zh-CN"/>
              </w:rPr>
            </w:pPr>
            <w:r>
              <w:rPr>
                <w:rFonts w:hint="eastAsia"/>
                <w:b/>
                <w:color w:val="000000" w:themeColor="text1"/>
                <w:sz w:val="20"/>
                <w:szCs w:val="20"/>
              </w:rPr>
              <w:t>了解管理评审的策划</w:t>
            </w:r>
            <w:r>
              <w:rPr>
                <w:rFonts w:hint="eastAsia"/>
                <w:b/>
                <w:color w:val="000000" w:themeColor="text1"/>
                <w:sz w:val="20"/>
                <w:szCs w:val="20"/>
                <w:lang w:eastAsia="zh-CN"/>
              </w:rPr>
              <w:t>：</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每年一次，2020年01月14日管理评审。</w:t>
            </w:r>
          </w:p>
          <w:p>
            <w:pPr>
              <w:spacing w:line="360" w:lineRule="auto"/>
              <w:rPr>
                <w:rFonts w:hint="eastAsia" w:eastAsia="宋体"/>
                <w:b/>
                <w:color w:val="000000" w:themeColor="text1"/>
                <w:sz w:val="20"/>
                <w:szCs w:val="20"/>
                <w:lang w:eastAsia="zh-CN"/>
              </w:rPr>
            </w:pPr>
            <w:r>
              <w:rPr>
                <w:rFonts w:hint="eastAsia"/>
                <w:b/>
                <w:color w:val="000000" w:themeColor="text1"/>
                <w:sz w:val="20"/>
                <w:szCs w:val="20"/>
              </w:rPr>
              <w:t>了解管理评审输入是否充分</w:t>
            </w:r>
            <w:r>
              <w:rPr>
                <w:rFonts w:hint="eastAsia"/>
                <w:b/>
                <w:color w:val="000000" w:themeColor="text1"/>
                <w:sz w:val="20"/>
                <w:szCs w:val="20"/>
                <w:lang w:eastAsia="zh-CN"/>
              </w:rPr>
              <w:t>：</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输入基本充分。</w:t>
            </w:r>
          </w:p>
          <w:p>
            <w:pPr>
              <w:spacing w:line="360" w:lineRule="auto"/>
              <w:rPr>
                <w:rFonts w:hint="eastAsia"/>
                <w:b/>
                <w:color w:val="000000" w:themeColor="text1"/>
                <w:sz w:val="20"/>
                <w:szCs w:val="20"/>
                <w:lang w:eastAsia="zh-CN"/>
              </w:rPr>
            </w:pPr>
            <w:r>
              <w:rPr>
                <w:rFonts w:hint="eastAsia"/>
                <w:b/>
                <w:color w:val="000000" w:themeColor="text1"/>
                <w:sz w:val="20"/>
                <w:szCs w:val="20"/>
              </w:rPr>
              <w:t>了解管理评审结论</w:t>
            </w:r>
            <w:r>
              <w:rPr>
                <w:rFonts w:hint="eastAsia"/>
                <w:b/>
                <w:color w:val="000000" w:themeColor="text1"/>
                <w:sz w:val="20"/>
                <w:szCs w:val="20"/>
                <w:lang w:eastAsia="zh-CN"/>
              </w:rPr>
              <w:t>：</w:t>
            </w:r>
          </w:p>
          <w:p>
            <w:pPr>
              <w:spacing w:line="360" w:lineRule="auto"/>
              <w:rPr>
                <w:rFonts w:hint="eastAsia" w:ascii="宋体" w:hAnsi="宋体" w:eastAsia="宋体"/>
                <w:b/>
                <w:sz w:val="21"/>
                <w:szCs w:val="21"/>
                <w:lang w:eastAsia="zh-CN"/>
              </w:rPr>
            </w:pPr>
            <w:r>
              <w:rPr>
                <w:rFonts w:hint="eastAsia"/>
                <w:sz w:val="24"/>
                <w:lang w:val="en-US" w:eastAsia="zh-CN"/>
              </w:rPr>
              <w:t xml:space="preserve">   </w:t>
            </w:r>
            <w:r>
              <w:rPr>
                <w:rFonts w:hint="eastAsia"/>
                <w:sz w:val="21"/>
                <w:szCs w:val="21"/>
              </w:rPr>
              <w:t>公司的质量、环境和职业健康安全管理体系基本适宜、充分和有效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eastAsia" w:ascii="宋体" w:hAnsi="宋体"/>
                <w:b/>
                <w:sz w:val="21"/>
                <w:szCs w:val="21"/>
                <w:lang w:val="en-US" w:eastAsia="zh-CN"/>
              </w:rPr>
            </w:pPr>
            <w:r>
              <w:rPr>
                <w:rFonts w:hint="eastAsia" w:ascii="宋体" w:hAnsi="宋体"/>
                <w:b/>
                <w:sz w:val="21"/>
                <w:szCs w:val="21"/>
                <w:lang w:val="en-US" w:eastAsia="zh-CN"/>
              </w:rPr>
              <w:t xml:space="preserve"> </w:t>
            </w:r>
          </w:p>
          <w:p>
            <w:pPr>
              <w:numPr>
                <w:ilvl w:val="0"/>
                <w:numId w:val="0"/>
              </w:numPr>
              <w:spacing w:line="240" w:lineRule="exact"/>
              <w:ind w:leftChars="0"/>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ascii="宋体" w:hAnsi="宋体"/>
                <w:b/>
                <w:sz w:val="21"/>
                <w:szCs w:val="21"/>
                <w:lang w:val="en-US" w:eastAsia="zh-CN"/>
              </w:rPr>
            </w:pPr>
            <w:r>
              <w:rPr>
                <w:rFonts w:hint="eastAsia" w:ascii="宋体" w:hAnsi="宋体"/>
                <w:b/>
                <w:sz w:val="21"/>
                <w:szCs w:val="21"/>
                <w:lang w:val="en-US" w:eastAsia="zh-CN"/>
              </w:rPr>
              <w:t xml:space="preserve"> </w:t>
            </w:r>
          </w:p>
          <w:p>
            <w:pPr>
              <w:spacing w:line="240" w:lineRule="exact"/>
              <w:ind w:firstLine="210" w:firstLineChars="100"/>
              <w:rPr>
                <w:rFonts w:ascii="宋体" w:hAnsi="宋体"/>
                <w:b/>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b/>
                <w:sz w:val="21"/>
                <w:szCs w:val="21"/>
                <w:lang w:val="en-US" w:eastAsia="zh-CN"/>
              </w:rPr>
            </w:pPr>
            <w:r>
              <w:rPr>
                <w:rFonts w:hint="eastAsia" w:ascii="宋体" w:hAnsi="宋体"/>
                <w:b/>
                <w:sz w:val="21"/>
                <w:szCs w:val="21"/>
                <w:lang w:val="en-US" w:eastAsia="zh-CN"/>
              </w:rPr>
              <w:t xml:space="preserve"> </w:t>
            </w:r>
          </w:p>
          <w:p>
            <w:pPr>
              <w:spacing w:line="240" w:lineRule="exact"/>
              <w:rPr>
                <w:rFonts w:hint="default" w:ascii="宋体" w:hAnsi="宋体"/>
                <w:b/>
                <w:sz w:val="21"/>
                <w:szCs w:val="21"/>
                <w:lang w:val="en-US" w:eastAsia="zh-CN"/>
              </w:rPr>
            </w:pPr>
            <w:r>
              <w:rPr>
                <w:rFonts w:hint="eastAsia" w:ascii="宋体" w:hAnsi="宋体"/>
                <w:b/>
                <w:sz w:val="21"/>
                <w:szCs w:val="21"/>
                <w:lang w:val="en-US" w:eastAsia="zh-CN"/>
              </w:rPr>
              <w:t xml:space="preserve">  </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4"/>
              </w:numPr>
              <w:spacing w:line="240" w:lineRule="exact"/>
              <w:ind w:left="0" w:leftChars="0" w:firstLine="0" w:firstLineChars="0"/>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ind w:leftChars="0"/>
              <w:rPr>
                <w:rFonts w:hint="eastAsia" w:ascii="宋体" w:hAnsi="宋体"/>
                <w:b/>
                <w:sz w:val="21"/>
                <w:szCs w:val="21"/>
                <w:lang w:val="en-US" w:eastAsia="zh-CN"/>
              </w:rPr>
            </w:pPr>
          </w:p>
          <w:p>
            <w:pPr>
              <w:widowControl/>
              <w:numPr>
                <w:ilvl w:val="0"/>
                <w:numId w:val="0"/>
              </w:numPr>
              <w:spacing w:line="240" w:lineRule="exact"/>
              <w:ind w:leftChars="0" w:firstLine="210" w:firstLineChars="100"/>
              <w:rPr>
                <w:rFonts w:hint="eastAsia" w:ascii="宋体" w:hAnsi="宋体" w:eastAsia="宋体"/>
                <w:b/>
                <w:sz w:val="21"/>
                <w:szCs w:val="21"/>
                <w:lang w:val="en-US" w:eastAsia="zh-CN"/>
              </w:rPr>
            </w:pP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360" w:lineRule="auto"/>
              <w:rPr>
                <w:rFonts w:hint="eastAsia"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ind w:firstLine="210" w:firstLineChars="100"/>
              <w:rPr>
                <w:rFonts w:ascii="宋体" w:hAnsi="宋体"/>
                <w:b/>
                <w:sz w:val="21"/>
                <w:szCs w:val="21"/>
              </w:rPr>
            </w:pPr>
            <w:r>
              <w:rPr>
                <w:rFonts w:hint="eastAsia" w:ascii="宋体" w:hAnsi="宋体"/>
                <w:b w:val="0"/>
                <w:bCs/>
                <w:sz w:val="21"/>
                <w:szCs w:val="21"/>
              </w:rPr>
              <w:t>公司对纠正预防措施识别、评审、验证，事故事件报告、调查、处理等作了规定，其内容符合组织实际及标准要求。针对内审管理评审提出的问题已采取了纠正措施。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ind w:firstLine="210" w:firstLineChars="100"/>
              <w:rPr>
                <w:rFonts w:ascii="宋体" w:hAnsi="宋体"/>
                <w:b/>
                <w:sz w:val="21"/>
                <w:szCs w:val="21"/>
              </w:rPr>
            </w:pPr>
            <w:r>
              <w:rPr>
                <w:rFonts w:hint="eastAsia"/>
                <w:bCs/>
                <w:color w:val="000000" w:themeColor="text1"/>
                <w:sz w:val="2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rPr>
                <w:rFonts w:hint="eastAsia" w:ascii="宋体" w:hAnsi="宋体"/>
                <w:b/>
                <w:sz w:val="21"/>
                <w:szCs w:val="21"/>
              </w:rPr>
            </w:pPr>
          </w:p>
          <w:p>
            <w:pPr>
              <w:numPr>
                <w:ilvl w:val="0"/>
                <w:numId w:val="0"/>
              </w:numPr>
              <w:spacing w:line="240" w:lineRule="exact"/>
              <w:ind w:firstLine="210" w:firstLineChars="100"/>
              <w:rPr>
                <w:rFonts w:hint="eastAsia" w:ascii="宋体" w:hAnsi="宋体" w:eastAsia="宋体"/>
                <w:b w:val="0"/>
                <w:bCs/>
                <w:sz w:val="21"/>
                <w:szCs w:val="21"/>
                <w:lang w:val="en-US" w:eastAsia="zh-CN"/>
              </w:rPr>
            </w:pPr>
            <w:r>
              <w:rPr>
                <w:rFonts w:hint="eastAsia" w:ascii="宋体" w:hAnsi="宋体"/>
                <w:b w:val="0"/>
                <w:bCs/>
                <w:sz w:val="21"/>
                <w:szCs w:val="21"/>
                <w:lang w:val="en-US" w:eastAsia="zh-CN"/>
              </w:rPr>
              <w:t>无</w:t>
            </w:r>
          </w:p>
          <w:p>
            <w:pPr>
              <w:numPr>
                <w:ilvl w:val="0"/>
                <w:numId w:val="0"/>
              </w:numPr>
              <w:spacing w:line="240" w:lineRule="exact"/>
              <w:ind w:leftChars="-50"/>
              <w:rPr>
                <w:rFonts w:hint="eastAsia" w:ascii="宋体" w:hAnsi="宋体"/>
                <w:b/>
                <w:sz w:val="21"/>
                <w:szCs w:val="21"/>
              </w:rPr>
            </w:pPr>
          </w:p>
          <w:p>
            <w:pPr>
              <w:numPr>
                <w:ilvl w:val="0"/>
                <w:numId w:val="0"/>
              </w:numPr>
              <w:spacing w:line="240" w:lineRule="exact"/>
              <w:ind w:leftChars="-50"/>
              <w:rPr>
                <w:rFonts w:hint="eastAsia" w:ascii="宋体" w:hAnsi="宋体"/>
                <w:b/>
                <w:sz w:val="21"/>
                <w:szCs w:val="21"/>
              </w:rPr>
            </w:pPr>
          </w:p>
          <w:p>
            <w:pPr>
              <w:numPr>
                <w:ilvl w:val="0"/>
                <w:numId w:val="0"/>
              </w:numPr>
              <w:spacing w:line="240" w:lineRule="exact"/>
              <w:ind w:leftChars="-5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360" w:lineRule="auto"/>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360" w:lineRule="auto"/>
              <w:ind w:leftChars="-50"/>
              <w:rPr>
                <w:rFonts w:hint="eastAsia" w:ascii="宋体" w:hAnsi="宋体" w:eastAsia="宋体"/>
                <w:b w:val="0"/>
                <w:bCs/>
                <w:sz w:val="21"/>
                <w:szCs w:val="21"/>
                <w:lang w:eastAsia="zh-CN"/>
              </w:rPr>
            </w:pPr>
            <w:r>
              <w:rPr>
                <w:rFonts w:hint="eastAsia" w:ascii="宋体" w:hAnsi="宋体"/>
                <w:b w:val="0"/>
                <w:bCs/>
                <w:sz w:val="21"/>
                <w:szCs w:val="21"/>
              </w:rPr>
              <w:t>上次不符合</w:t>
            </w:r>
            <w:r>
              <w:rPr>
                <w:rFonts w:hint="eastAsia" w:ascii="宋体" w:hAnsi="宋体"/>
                <w:b w:val="0"/>
                <w:bCs/>
                <w:sz w:val="21"/>
                <w:szCs w:val="21"/>
                <w:lang w:eastAsia="zh-CN"/>
              </w:rPr>
              <w:t>：</w:t>
            </w:r>
          </w:p>
          <w:p>
            <w:pPr>
              <w:numPr>
                <w:ilvl w:val="0"/>
                <w:numId w:val="0"/>
              </w:numPr>
              <w:spacing w:line="360" w:lineRule="auto"/>
              <w:ind w:leftChars="-50"/>
              <w:rPr>
                <w:rFonts w:hint="default" w:ascii="宋体" w:hAnsi="宋体"/>
                <w:b/>
                <w:sz w:val="21"/>
                <w:szCs w:val="21"/>
                <w:lang w:val="en-US"/>
              </w:rPr>
            </w:pPr>
            <w:r>
              <w:rPr>
                <w:rFonts w:hint="eastAsia" w:ascii="宋体" w:hAnsi="宋体"/>
                <w:b w:val="0"/>
                <w:bCs/>
                <w:sz w:val="21"/>
                <w:szCs w:val="21"/>
                <w:lang w:eastAsia="zh-CN"/>
              </w:rPr>
              <w:t>“</w:t>
            </w:r>
            <w:r>
              <w:rPr>
                <w:rFonts w:hint="eastAsia" w:ascii="宋体" w:hAnsi="宋体"/>
                <w:b w:val="0"/>
                <w:bCs/>
                <w:sz w:val="21"/>
                <w:szCs w:val="21"/>
                <w:lang w:val="en-US" w:eastAsia="zh-CN"/>
              </w:rPr>
              <w:t>未</w:t>
            </w:r>
            <w:r>
              <w:rPr>
                <w:rFonts w:hint="eastAsia" w:ascii="宋体" w:hAnsi="宋体"/>
                <w:b w:val="0"/>
                <w:bCs/>
                <w:sz w:val="21"/>
                <w:szCs w:val="21"/>
              </w:rPr>
              <w:t>提供对学生课桌椅外部供方：“沧州通奥体育健身器材有限公司”进行选择评价证据及进行相关方告知的证据。 不符合GB/T19001-2016标准的8.4.2条款、GB/T24001-2016标准8.1条款、GB/T28001-2011标准4.4.6条款相关要求</w:t>
            </w:r>
            <w:r>
              <w:rPr>
                <w:rFonts w:hint="eastAsia" w:ascii="宋体" w:hAnsi="宋体"/>
                <w:b w:val="0"/>
                <w:bCs/>
                <w:sz w:val="21"/>
                <w:szCs w:val="21"/>
                <w:lang w:eastAsia="zh-CN"/>
              </w:rPr>
              <w:t>”</w:t>
            </w:r>
            <w:r>
              <w:rPr>
                <w:rFonts w:hint="eastAsia" w:ascii="宋体" w:hAnsi="宋体"/>
                <w:b w:val="0"/>
                <w:bCs/>
                <w:sz w:val="21"/>
                <w:szCs w:val="21"/>
                <w:lang w:val="en-US" w:eastAsia="zh-CN"/>
              </w:rPr>
              <w:t>已整改。</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w:t>
      </w:r>
      <w:r>
        <w:rPr>
          <w:rFonts w:hint="eastAsia" w:ascii="宋体" w:hAnsi="宋体"/>
          <w:b/>
          <w:szCs w:val="21"/>
          <w:lang w:val="en-US" w:eastAsia="zh-CN"/>
        </w:rPr>
        <w:t>未</w:t>
      </w:r>
      <w:r>
        <w:rPr>
          <w:rFonts w:hint="eastAsia" w:ascii="宋体" w:hAnsi="宋体"/>
          <w:b/>
          <w:szCs w:val="21"/>
        </w:rPr>
        <w:t>开具不符合项报告项；其中</w:t>
      </w:r>
      <w:r>
        <w:rPr>
          <w:rFonts w:ascii="宋体" w:hAnsi="宋体"/>
          <w:b/>
          <w:szCs w:val="21"/>
        </w:rPr>
        <w:pict>
          <v:line id="直接连接符 1" o:spid="_x0000_s1030"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360" w:lineRule="auto"/>
              <w:ind w:firstLine="210" w:firstLineChars="100"/>
              <w:rPr>
                <w:rFonts w:ascii="宋体" w:hAnsi="宋体"/>
                <w:b/>
                <w:szCs w:val="21"/>
              </w:rPr>
            </w:pPr>
            <w:r>
              <w:rPr>
                <w:rFonts w:hint="eastAsia" w:ascii="宋体" w:hAnsi="宋体" w:cs="宋体"/>
                <w:bCs/>
                <w:color w:val="000000" w:themeColor="text1"/>
                <w:sz w:val="2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p>
            <w:pPr>
              <w:spacing w:line="280" w:lineRule="exact"/>
              <w:ind w:firstLine="241" w:firstLineChars="10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numPr>
          <w:ilvl w:val="0"/>
          <w:numId w:val="6"/>
        </w:numPr>
        <w:spacing w:before="163" w:beforeLines="50" w:after="163" w:afterLines="50"/>
        <w:ind w:left="-122" w:leftChars="-51" w:firstLine="129" w:firstLineChars="46"/>
        <w:rPr>
          <w:rFonts w:hint="eastAsia"/>
          <w:b/>
          <w:bCs/>
          <w:sz w:val="26"/>
          <w:szCs w:val="26"/>
        </w:rPr>
      </w:pPr>
      <w:r>
        <w:rPr>
          <w:rFonts w:hint="eastAsia" w:ascii="仿宋" w:hAnsi="仿宋" w:eastAsia="仿宋"/>
          <w:b/>
          <w:bCs/>
          <w:kern w:val="24"/>
          <w:sz w:val="28"/>
          <w:szCs w:val="28"/>
        </w:rPr>
        <w:t>任何影响审核方案的重要事项</w:t>
      </w:r>
      <w:r>
        <w:rPr>
          <w:rFonts w:hint="eastAsia"/>
          <w:b/>
          <w:bCs/>
          <w:sz w:val="26"/>
          <w:szCs w:val="26"/>
        </w:rPr>
        <w:t>：</w:t>
      </w:r>
    </w:p>
    <w:p>
      <w:pPr>
        <w:spacing w:before="156" w:beforeLines="50" w:after="156" w:afterLines="50"/>
        <w:ind w:firstLine="720" w:firstLineChars="300"/>
        <w:rPr>
          <w:rFonts w:hint="eastAsia" w:ascii="宋体" w:hAnsi="宋体" w:eastAsia="宋体" w:cs="宋体"/>
          <w:b/>
          <w:color w:val="000000" w:themeColor="text1"/>
          <w:sz w:val="26"/>
          <w:szCs w:val="26"/>
        </w:rPr>
      </w:pPr>
      <w:r>
        <w:rPr>
          <w:rFonts w:hint="eastAsia"/>
          <w:lang w:val="en-US" w:eastAsia="zh-CN"/>
        </w:rPr>
        <w:t>本次审核为远程审核，后续安排1人日进行现场核验审核。</w:t>
      </w: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62336" behindDoc="0" locked="0" layoutInCell="1" allowOverlap="1">
            <wp:simplePos x="0" y="0"/>
            <wp:positionH relativeFrom="column">
              <wp:posOffset>1895475</wp:posOffset>
            </wp:positionH>
            <wp:positionV relativeFrom="paragraph">
              <wp:posOffset>314960</wp:posOffset>
            </wp:positionV>
            <wp:extent cx="299720" cy="237490"/>
            <wp:effectExtent l="0" t="0" r="508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99720" cy="23749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2020.5.5</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u w:val="single"/>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pacing w:val="-10"/>
          <w:sz w:val="21"/>
          <w:szCs w:val="21"/>
          <w:lang w:val="en-US" w:eastAsia="zh-CN"/>
        </w:rPr>
        <w:t xml:space="preserve"> </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lang w:eastAsia="zh-CN"/>
        </w:rPr>
        <w:t>□</w:t>
      </w:r>
      <w:r>
        <w:rPr>
          <w:rFonts w:hint="eastAsia"/>
          <w:b/>
          <w:sz w:val="21"/>
          <w:szCs w:val="21"/>
        </w:rPr>
        <w:t>不同意保持注册</w:t>
      </w:r>
    </w:p>
    <w:p>
      <w:pPr>
        <w:snapToGrid w:val="0"/>
        <w:spacing w:line="280" w:lineRule="exact"/>
        <w:rPr>
          <w:rFonts w:hint="eastAsia"/>
          <w:b/>
          <w:sz w:val="21"/>
          <w:szCs w:val="21"/>
        </w:rPr>
      </w:pPr>
      <w:r>
        <w:drawing>
          <wp:anchor distT="0" distB="0" distL="114300" distR="114300" simplePos="0" relativeHeight="251664384" behindDoc="0" locked="0" layoutInCell="1" allowOverlap="1">
            <wp:simplePos x="0" y="0"/>
            <wp:positionH relativeFrom="column">
              <wp:posOffset>1263650</wp:posOffset>
            </wp:positionH>
            <wp:positionV relativeFrom="paragraph">
              <wp:posOffset>87630</wp:posOffset>
            </wp:positionV>
            <wp:extent cx="299720" cy="237490"/>
            <wp:effectExtent l="0" t="0" r="508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99720" cy="237490"/>
                    </a:xfrm>
                    <a:prstGeom prst="rect">
                      <a:avLst/>
                    </a:prstGeom>
                    <a:noFill/>
                    <a:ln>
                      <a:noFill/>
                    </a:ln>
                  </pic:spPr>
                </pic:pic>
              </a:graphicData>
            </a:graphic>
          </wp:anchor>
        </w:drawing>
      </w:r>
    </w:p>
    <w:p>
      <w:pPr>
        <w:snapToGrid w:val="0"/>
        <w:spacing w:line="280" w:lineRule="exact"/>
        <w:ind w:firstLine="843" w:firstLineChars="400"/>
        <w:rPr>
          <w:rFonts w:hint="default" w:eastAsia="宋体"/>
          <w:b/>
          <w:sz w:val="21"/>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rPr>
        <w:t>日期：</w:t>
      </w:r>
      <w:r>
        <w:rPr>
          <w:rFonts w:hint="eastAsia"/>
          <w:b/>
          <w:sz w:val="21"/>
          <w:lang w:val="en-US" w:eastAsia="zh-CN"/>
        </w:rPr>
        <w:t>2020.5.5</w:t>
      </w:r>
      <w:bookmarkStart w:id="26" w:name="_GoBack"/>
      <w:bookmarkEnd w:id="26"/>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rFonts w:hint="eastAsia"/>
          <w:b/>
          <w:szCs w:val="24"/>
          <w:lang w:val="en-US" w:eastAsia="zh-CN"/>
        </w:rPr>
      </w:pPr>
      <w:r>
        <w:rPr>
          <w:rFonts w:hint="eastAsia"/>
          <w:b/>
          <w:szCs w:val="24"/>
        </w:rPr>
        <w:t>认证评定负责人：</w:t>
      </w:r>
      <w:r>
        <w:rPr>
          <w:rFonts w:hint="eastAsia"/>
          <w:b/>
          <w:szCs w:val="24"/>
          <w:lang w:val="en-US" w:eastAsia="zh-CN"/>
        </w:rPr>
        <w:t xml:space="preserve">     </w:t>
      </w:r>
    </w:p>
    <w:p>
      <w:pPr>
        <w:spacing w:line="360" w:lineRule="auto"/>
        <w:ind w:left="600" w:firstLine="4337" w:firstLineChars="1800"/>
        <w:rPr>
          <w:b/>
          <w:szCs w:val="24"/>
        </w:rPr>
      </w:pP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rFonts w:hint="eastAsia"/>
          <w:b/>
          <w:szCs w:val="24"/>
        </w:rPr>
      </w:pPr>
      <w:r>
        <w:rPr>
          <w:rFonts w:hint="eastAsia"/>
          <w:b/>
          <w:szCs w:val="24"/>
        </w:rPr>
        <w:t>批准人（总经理）：</w:t>
      </w:r>
    </w:p>
    <w:p>
      <w:pPr>
        <w:spacing w:line="360" w:lineRule="auto"/>
        <w:ind w:left="600" w:firstLine="4337" w:firstLineChars="1800"/>
        <w:rPr>
          <w:rFonts w:hint="eastAsia"/>
          <w:b/>
          <w:szCs w:val="24"/>
        </w:rPr>
      </w:pP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pStyle w:val="2"/>
      </w:pP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7"/>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7B9CC7"/>
    <w:multiLevelType w:val="singleLevel"/>
    <w:tmpl w:val="8B7B9CC7"/>
    <w:lvl w:ilvl="0" w:tentative="0">
      <w:start w:val="2"/>
      <w:numFmt w:val="decimal"/>
      <w:suff w:val="nothing"/>
      <w:lvlText w:val="%1、"/>
      <w:lvlJc w:val="left"/>
    </w:lvl>
  </w:abstractNum>
  <w:abstractNum w:abstractNumId="1">
    <w:nsid w:val="9F1E8820"/>
    <w:multiLevelType w:val="singleLevel"/>
    <w:tmpl w:val="9F1E8820"/>
    <w:lvl w:ilvl="0" w:tentative="0">
      <w:start w:val="11"/>
      <w:numFmt w:val="chineseCounting"/>
      <w:suff w:val="nothing"/>
      <w:lvlText w:val="%1、"/>
      <w:lvlJc w:val="left"/>
      <w:rPr>
        <w:rFonts w:hint="eastAsia"/>
      </w:r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30D23E82"/>
    <w:multiLevelType w:val="singleLevel"/>
    <w:tmpl w:val="30D23E82"/>
    <w:lvl w:ilvl="0" w:tentative="0">
      <w:start w:val="3"/>
      <w:numFmt w:val="decimal"/>
      <w:lvlText w:val="%1."/>
      <w:lvlJc w:val="left"/>
      <w:pPr>
        <w:tabs>
          <w:tab w:val="left" w:pos="312"/>
        </w:tabs>
      </w:pPr>
    </w:lvl>
  </w:abstractNum>
  <w:abstractNum w:abstractNumId="4">
    <w:nsid w:val="3AEF9440"/>
    <w:multiLevelType w:val="singleLevel"/>
    <w:tmpl w:val="3AEF9440"/>
    <w:lvl w:ilvl="0" w:tentative="0">
      <w:start w:val="2"/>
      <w:numFmt w:val="decimal"/>
      <w:lvlText w:val="%1."/>
      <w:lvlJc w:val="left"/>
      <w:pPr>
        <w:tabs>
          <w:tab w:val="left" w:pos="312"/>
        </w:tabs>
      </w:pPr>
    </w:lvl>
  </w:abstractNum>
  <w:abstractNum w:abstractNumId="5">
    <w:nsid w:val="4C394863"/>
    <w:multiLevelType w:val="singleLevel"/>
    <w:tmpl w:val="4C394863"/>
    <w:lvl w:ilvl="0" w:tentative="0">
      <w:start w:val="6"/>
      <w:numFmt w:val="decimal"/>
      <w:suff w:val="space"/>
      <w:lvlText w:val="%1."/>
      <w:lvlJc w:val="left"/>
    </w:lvl>
  </w:abstractNum>
  <w:abstractNum w:abstractNumId="6">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3"/>
  </w:num>
  <w:num w:numId="3">
    <w:abstractNumId w:val="6"/>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7A7B94"/>
    <w:rsid w:val="40A34B55"/>
    <w:rsid w:val="5AD30E66"/>
    <w:rsid w:val="66440CFD"/>
    <w:rsid w:val="69894512"/>
    <w:rsid w:val="7517422B"/>
    <w:rsid w:val="7C705D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2"/>
    <w:semiHidden/>
    <w:qFormat/>
    <w:uiPriority w:val="99"/>
    <w:rPr>
      <w:sz w:val="18"/>
      <w:szCs w:val="18"/>
    </w:rPr>
  </w:style>
  <w:style w:type="paragraph" w:styleId="5">
    <w:name w:val="footer"/>
    <w:basedOn w:val="1"/>
    <w:link w:val="13"/>
    <w:semiHidden/>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locked/>
    <w:uiPriority w:val="0"/>
    <w:rPr>
      <w:b/>
      <w:bCs/>
    </w:rPr>
  </w:style>
  <w:style w:type="character" w:styleId="11">
    <w:name w:val="Hyperlink"/>
    <w:basedOn w:val="9"/>
    <w:semiHidden/>
    <w:unhideWhenUsed/>
    <w:qFormat/>
    <w:uiPriority w:val="99"/>
    <w:rPr>
      <w:color w:val="0000FF"/>
      <w:u w:val="single"/>
    </w:rPr>
  </w:style>
  <w:style w:type="character" w:customStyle="1" w:styleId="12">
    <w:name w:val="批注框文本 Char"/>
    <w:link w:val="4"/>
    <w:semiHidden/>
    <w:qFormat/>
    <w:locked/>
    <w:uiPriority w:val="99"/>
    <w:rPr>
      <w:rFonts w:ascii="Times New Roman" w:hAnsi="Times New Roman" w:eastAsia="宋体" w:cs="Times New Roman"/>
      <w:sz w:val="18"/>
      <w:szCs w:val="18"/>
    </w:rPr>
  </w:style>
  <w:style w:type="character" w:customStyle="1" w:styleId="13">
    <w:name w:val="页脚 Char"/>
    <w:link w:val="5"/>
    <w:semiHidden/>
    <w:qFormat/>
    <w:locked/>
    <w:uiPriority w:val="99"/>
    <w:rPr>
      <w:rFonts w:ascii="Times New Roman" w:hAnsi="Times New Roman" w:eastAsia="宋体" w:cs="Times New Roman"/>
      <w:sz w:val="18"/>
      <w:szCs w:val="18"/>
    </w:rPr>
  </w:style>
  <w:style w:type="character" w:customStyle="1" w:styleId="14">
    <w:name w:val="页眉 Char"/>
    <w:link w:val="6"/>
    <w:qFormat/>
    <w:locked/>
    <w:uiPriority w:val="0"/>
    <w:rPr>
      <w:sz w:val="18"/>
    </w:rPr>
  </w:style>
  <w:style w:type="character" w:customStyle="1" w:styleId="15">
    <w:name w:val="页眉 Char1"/>
    <w:semiHidden/>
    <w:qFormat/>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2020-05-19T00:14:33Z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