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0142-2020-QEO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杭州天助化工有限公司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Q:29.11.05</w:t>
            </w:r>
          </w:p>
          <w:p>
            <w:pPr>
              <w:spacing w:line="240" w:lineRule="exact"/>
              <w:jc w:val="center"/>
              <w:rPr>
                <w:b/>
                <w:color w:val="000000"/>
                <w:sz w:val="20"/>
                <w:szCs w:val="20"/>
              </w:rPr>
            </w:pPr>
            <w:r>
              <w:rPr>
                <w:b/>
                <w:color w:val="000000"/>
                <w:sz w:val="20"/>
                <w:szCs w:val="20"/>
              </w:rPr>
              <w:t>E:29.11.05</w:t>
            </w:r>
          </w:p>
          <w:p>
            <w:pPr>
              <w:spacing w:line="240" w:lineRule="exact"/>
              <w:jc w:val="center"/>
              <w:rPr>
                <w:b/>
                <w:color w:val="000000"/>
                <w:sz w:val="20"/>
                <w:szCs w:val="20"/>
              </w:rPr>
            </w:pPr>
            <w:r>
              <w:rPr>
                <w:b/>
                <w:color w:val="000000"/>
                <w:sz w:val="20"/>
                <w:szCs w:val="20"/>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Q:29.11.05</w:t>
            </w:r>
          </w:p>
          <w:p>
            <w:pPr>
              <w:spacing w:line="240" w:lineRule="exact"/>
              <w:jc w:val="center"/>
              <w:rPr>
                <w:b/>
                <w:color w:val="000000"/>
                <w:sz w:val="20"/>
                <w:szCs w:val="20"/>
              </w:rPr>
            </w:pPr>
            <w:r>
              <w:rPr>
                <w:b/>
                <w:color w:val="000000"/>
                <w:sz w:val="20"/>
                <w:szCs w:val="20"/>
              </w:rPr>
              <w:t>E:29.11.05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杭州天助化工有限公司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浙江省杭州市滨江区长河街道滨文路358号1408室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310052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hint="default" w:ascii="宋体" w:eastAsia="宋体"/>
                <w:b/>
                <w:color w:val="000000"/>
                <w:sz w:val="20"/>
                <w:szCs w:val="20"/>
                <w:lang w:val="en-US" w:eastAsia="zh-CN"/>
              </w:rPr>
            </w:pPr>
            <w:bookmarkStart w:id="12" w:name="经营地址"/>
            <w:bookmarkEnd w:id="12"/>
            <w:r>
              <w:rPr>
                <w:rFonts w:hint="eastAsia" w:ascii="宋体"/>
                <w:b/>
                <w:color w:val="000000"/>
                <w:sz w:val="20"/>
                <w:szCs w:val="20"/>
                <w:lang w:val="en-US" w:eastAsia="zh-CN"/>
              </w:rPr>
              <w:t>同上</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浙江省杭州市滨江区长河街道滨文路358号1408室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310052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朱莹</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0571-86632006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杨国方</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洪小燕</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Q：危险化学品的批发(限许可范围内）</w:t>
            </w:r>
          </w:p>
          <w:p>
            <w:pPr>
              <w:spacing w:line="400" w:lineRule="exact"/>
              <w:rPr>
                <w:rFonts w:ascii="宋体" w:hAnsi="宋体"/>
                <w:b/>
                <w:color w:val="000000"/>
                <w:sz w:val="20"/>
                <w:szCs w:val="20"/>
              </w:rPr>
            </w:pPr>
            <w:r>
              <w:rPr>
                <w:rFonts w:ascii="宋体" w:hAnsi="宋体"/>
                <w:b/>
                <w:color w:val="000000"/>
                <w:sz w:val="20"/>
                <w:szCs w:val="20"/>
              </w:rPr>
              <w:t>E：危险化学品的批发(限许可范围内）及其相关环境管理活动</w:t>
            </w:r>
          </w:p>
          <w:p>
            <w:pPr>
              <w:spacing w:line="400" w:lineRule="exact"/>
              <w:rPr>
                <w:rFonts w:ascii="宋体" w:hAnsi="宋体"/>
                <w:b/>
                <w:color w:val="000000"/>
                <w:sz w:val="20"/>
                <w:szCs w:val="20"/>
              </w:rPr>
            </w:pPr>
            <w:r>
              <w:rPr>
                <w:rFonts w:ascii="宋体" w:hAnsi="宋体"/>
                <w:b/>
                <w:color w:val="000000"/>
                <w:sz w:val="20"/>
                <w:szCs w:val="20"/>
              </w:rPr>
              <w:t>O：危险化学品的批发(限许可范围内）及其相关职业健康安全管理活动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Q：29.11.05</w:t>
            </w:r>
          </w:p>
          <w:p>
            <w:pPr>
              <w:spacing w:line="280" w:lineRule="exact"/>
              <w:rPr>
                <w:rFonts w:ascii="宋体"/>
                <w:b/>
                <w:color w:val="000000"/>
                <w:sz w:val="20"/>
                <w:szCs w:val="20"/>
              </w:rPr>
            </w:pPr>
            <w:r>
              <w:rPr>
                <w:rFonts w:ascii="宋体"/>
                <w:b/>
                <w:color w:val="000000"/>
                <w:sz w:val="20"/>
                <w:szCs w:val="20"/>
              </w:rPr>
              <w:t>E：29.11.05</w:t>
            </w:r>
          </w:p>
          <w:p>
            <w:pPr>
              <w:spacing w:line="280" w:lineRule="exact"/>
              <w:rPr>
                <w:rFonts w:ascii="宋体"/>
                <w:b/>
                <w:color w:val="000000"/>
                <w:sz w:val="20"/>
                <w:szCs w:val="20"/>
              </w:rPr>
            </w:pPr>
            <w:r>
              <w:rPr>
                <w:rFonts w:ascii="宋体"/>
                <w:b/>
                <w:color w:val="000000"/>
                <w:sz w:val="20"/>
                <w:szCs w:val="20"/>
              </w:rPr>
              <w:t>O：29.11.05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供销部、办公室、财务</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公司办公室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服务合同法</w:t>
            </w:r>
            <w:r>
              <w:rPr>
                <w:rFonts w:hint="eastAsia" w:ascii="宋体" w:hAnsi="宋体"/>
                <w:color w:val="000000"/>
                <w:spacing w:val="-10"/>
                <w:sz w:val="20"/>
                <w:szCs w:val="20"/>
                <w:lang w:eastAsia="zh-CN"/>
              </w:rPr>
              <w:t>）</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危险化学品的销售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总经理、管理者代表、供销部、办公室、财务</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浙江省杭州市滨江区长河街道滨文路358号1408室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无；无仓储销售。由供方直接负责运输到顾客方的模式开展销售活动。</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危险化学品经营许可证；非药品类易制毒化学品经营备案证明；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z w:val="20"/>
                <w:szCs w:val="20"/>
                <w:lang w:val="en-US" w:eastAsia="zh-CN"/>
              </w:rPr>
              <w:t>销售产品的检测报告</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sz w:val="20"/>
                <w:lang w:val="en-US" w:eastAsia="zh-CN"/>
              </w:rPr>
              <w:t>需求信息（组织招投标书等）-签订合同-采购（向合格供应商订货）-给出产品及运输等要求-送货-客户化验确认-回收送货单-服务确认（订单统计确认）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投标过程、服务过程（送货要求传达、送货单回收、顾客回访）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szCs w:val="21"/>
              </w:rPr>
              <w:t xml:space="preserve"> </w:t>
            </w:r>
            <w:r>
              <w:rPr>
                <w:rFonts w:hint="eastAsia" w:ascii="宋体" w:hAnsi="宋体"/>
                <w:szCs w:val="21"/>
                <w:lang w:val="en-US" w:eastAsia="zh-CN"/>
              </w:rPr>
              <w:t>销售</w:t>
            </w:r>
            <w:bookmarkStart w:id="24" w:name="_GoBack"/>
            <w:bookmarkEnd w:id="24"/>
            <w:r>
              <w:rPr>
                <w:rFonts w:hint="eastAsia" w:ascii="宋体" w:hAnsi="宋体"/>
                <w:lang w:val="en-US" w:eastAsia="zh-CN"/>
              </w:rPr>
              <w:t xml:space="preserve">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主要为办公过程的工作环境，办公楼层内有多个单位，楼层有消防栓、灭火器、火警报警系统等；基本满足要求。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重要环境因素有：危废（墨盒、硒鼓、灯管）排放、火灾发生、能源/资源的消耗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环境因素识别与评价程序、环境、职业健康安全运行控制程序、应急准备和响应程序等、应急准备和响应程序；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消防灭火和中暑应急预案；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不可接受风险有：触电、火灾、交通事故、中暑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color w:val="000000"/>
                <w:sz w:val="20"/>
                <w:szCs w:val="20"/>
                <w:lang w:val="en-US"/>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危险源辨识和风险评价程序、环境、职业健康安全运行控制程序、应急准备和响应程序等、应急准备和响应程序；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公司为彩宏大厦14楼，南边100米为高架桥，西边50米为居民区；北边和东边目前为空地。</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供销部；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销售过程由该部门完成，重点关注招标文件的编制、销售信息的传递、顾客送货单的确认、统计单、回访等。</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办公室为主控管理部门；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办公室为主控管理部门</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内审发现2个不符合项；已采取改进措施；审核结果为管体系运行适宜、充分和有效。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编制管理评审报告，提出三项改进建议；评审结论为基本有效充分和适宜；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宋体"/>
                <w:b/>
                <w:color w:val="000000"/>
                <w:szCs w:val="21"/>
                <w:lang w:val="en-US" w:eastAsia="zh-CN"/>
              </w:rPr>
              <w:t>可进行二阶段的审核。</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9264" behindDoc="1" locked="0" layoutInCell="1" allowOverlap="1">
            <wp:simplePos x="0" y="0"/>
            <wp:positionH relativeFrom="column">
              <wp:posOffset>1701165</wp:posOffset>
            </wp:positionH>
            <wp:positionV relativeFrom="paragraph">
              <wp:posOffset>234950</wp:posOffset>
            </wp:positionV>
            <wp:extent cx="800100" cy="438150"/>
            <wp:effectExtent l="0" t="0" r="0" b="0"/>
            <wp:wrapNone/>
            <wp:docPr id="3" name="图片 3"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
                    <pic:cNvPicPr>
                      <a:picLocks noChangeAspect="1"/>
                    </pic:cNvPicPr>
                  </pic:nvPicPr>
                  <pic:blipFill>
                    <a:blip r:embed="rId6">
                      <a:lum contrast="6000"/>
                    </a:blip>
                    <a:stretch>
                      <a:fillRect/>
                    </a:stretch>
                  </pic:blipFill>
                  <pic:spPr>
                    <a:xfrm>
                      <a:off x="0" y="0"/>
                      <a:ext cx="800100" cy="438150"/>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hint="eastAsia" w:ascii="宋体" w:eastAsia="宋体"/>
          <w:b/>
          <w:bCs/>
          <w:color w:val="000000"/>
          <w:sz w:val="26"/>
          <w:szCs w:val="26"/>
          <w:lang w:eastAsia="zh-CN"/>
        </w:rPr>
      </w:pPr>
      <w:r>
        <w:rPr>
          <w:rFonts w:hint="default" w:ascii="宋体" w:eastAsia="宋体"/>
          <w:b/>
          <w:color w:val="000000"/>
          <w:lang w:val="en-US" w:eastAsia="zh-CN"/>
        </w:rPr>
        <w:drawing>
          <wp:anchor distT="0" distB="0" distL="114300" distR="114300" simplePos="0" relativeHeight="251660288" behindDoc="1" locked="0" layoutInCell="1" allowOverlap="1">
            <wp:simplePos x="0" y="0"/>
            <wp:positionH relativeFrom="column">
              <wp:posOffset>2486660</wp:posOffset>
            </wp:positionH>
            <wp:positionV relativeFrom="paragraph">
              <wp:posOffset>335280</wp:posOffset>
            </wp:positionV>
            <wp:extent cx="822960" cy="407035"/>
            <wp:effectExtent l="0" t="0" r="15240" b="12065"/>
            <wp:wrapNone/>
            <wp:docPr id="4" name="图片 4" descr="89a3fe9d2bf43677b3806a2652c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9a3fe9d2bf43677b3806a2652c8659"/>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r>
        <w:rPr>
          <w:rFonts w:ascii="宋体" w:hAnsi="宋体"/>
          <w:b/>
          <w:color w:val="000000"/>
        </w:rPr>
        <w:drawing>
          <wp:anchor distT="0" distB="0" distL="114300" distR="114300" simplePos="0" relativeHeight="251658240" behindDoc="1" locked="0" layoutInCell="1" allowOverlap="1">
            <wp:simplePos x="0" y="0"/>
            <wp:positionH relativeFrom="column">
              <wp:posOffset>1682115</wp:posOffset>
            </wp:positionH>
            <wp:positionV relativeFrom="paragraph">
              <wp:posOffset>284480</wp:posOffset>
            </wp:positionV>
            <wp:extent cx="870585" cy="440690"/>
            <wp:effectExtent l="0" t="0" r="5715" b="16510"/>
            <wp:wrapNone/>
            <wp:docPr id="1" name="图片 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任泽华"/>
                    <pic:cNvPicPr>
                      <a:picLocks noChangeAspect="1"/>
                    </pic:cNvPicPr>
                  </pic:nvPicPr>
                  <pic:blipFill>
                    <a:blip r:embed="rId8"/>
                    <a:stretch>
                      <a:fillRect/>
                    </a:stretch>
                  </pic:blipFill>
                  <pic:spPr>
                    <a:xfrm>
                      <a:off x="0" y="0"/>
                      <a:ext cx="870585" cy="440690"/>
                    </a:xfrm>
                    <a:prstGeom prst="rect">
                      <a:avLst/>
                    </a:prstGeom>
                  </pic:spPr>
                </pic:pic>
              </a:graphicData>
            </a:graphic>
          </wp:anchor>
        </w:drawing>
      </w:r>
      <w:r>
        <w:rPr>
          <w:rFonts w:ascii="宋体" w:hAnsi="宋体"/>
          <w:b/>
          <w:color w:val="000000"/>
        </w:rPr>
        <w:t xml:space="preserve">   </w:t>
      </w:r>
    </w:p>
    <w:p>
      <w:pPr>
        <w:spacing w:line="240" w:lineRule="auto"/>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2020-4-19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top"/>
          </w:tcPr>
          <w:p>
            <w:pPr>
              <w:spacing w:before="40" w:after="40"/>
              <w:rPr>
                <w:color w:val="000000"/>
                <w:sz w:val="24"/>
                <w:szCs w:val="24"/>
              </w:rPr>
            </w:pPr>
            <w:r>
              <w:rPr>
                <w:rFonts w:hint="eastAsia" w:ascii="宋体" w:hAnsi="宋体"/>
                <w:sz w:val="21"/>
                <w:lang w:val="en-US" w:eastAsia="zh-CN"/>
              </w:rPr>
              <w:t>8.3条款在手册中未说明删减，但在职能分配表中未列入。</w:t>
            </w:r>
          </w:p>
        </w:tc>
        <w:tc>
          <w:tcPr>
            <w:tcW w:w="1688" w:type="dxa"/>
            <w:vAlign w:val="center"/>
          </w:tcPr>
          <w:p>
            <w:pPr>
              <w:spacing w:before="40" w:after="40"/>
              <w:rPr>
                <w:rFonts w:hint="default" w:ascii="宋体" w:hAnsi="宋体"/>
                <w:sz w:val="21"/>
                <w:lang w:val="en-US" w:eastAsia="zh-CN"/>
              </w:rPr>
            </w:pPr>
            <w:r>
              <w:rPr>
                <w:rFonts w:hint="eastAsia" w:ascii="宋体" w:hAnsi="宋体"/>
                <w:sz w:val="21"/>
                <w:lang w:val="en-US" w:eastAsia="zh-CN"/>
              </w:rPr>
              <w:t>8.3</w:t>
            </w:r>
          </w:p>
        </w:tc>
        <w:tc>
          <w:tcPr>
            <w:tcW w:w="1811" w:type="dxa"/>
            <w:vAlign w:val="center"/>
          </w:tcPr>
          <w:p>
            <w:pPr>
              <w:spacing w:before="40" w:after="40"/>
              <w:rPr>
                <w:rFonts w:hint="eastAsia"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vAlign w:val="top"/>
          </w:tcPr>
          <w:p>
            <w:pPr>
              <w:spacing w:before="40" w:after="40"/>
              <w:rPr>
                <w:color w:val="000000"/>
                <w:sz w:val="24"/>
                <w:szCs w:val="24"/>
              </w:rPr>
            </w:pPr>
            <w:r>
              <w:rPr>
                <w:rFonts w:hint="eastAsia" w:ascii="宋体" w:hAnsi="宋体"/>
                <w:sz w:val="21"/>
                <w:lang w:val="en-US" w:eastAsia="zh-CN"/>
              </w:rPr>
              <w:t>手册8.4.1条款将运输过程列为外包过程，但与企业负责人沟通发现，运输由物品生产厂家负责。</w:t>
            </w:r>
          </w:p>
        </w:tc>
        <w:tc>
          <w:tcPr>
            <w:tcW w:w="1688" w:type="dxa"/>
            <w:vAlign w:val="center"/>
          </w:tcPr>
          <w:p>
            <w:pPr>
              <w:spacing w:before="40" w:after="40"/>
              <w:rPr>
                <w:rFonts w:hint="default" w:ascii="宋体" w:hAnsi="宋体"/>
                <w:sz w:val="21"/>
                <w:lang w:val="en-US" w:eastAsia="zh-CN"/>
              </w:rPr>
            </w:pPr>
            <w:r>
              <w:rPr>
                <w:rFonts w:hint="eastAsia" w:ascii="宋体" w:hAnsi="宋体"/>
                <w:sz w:val="21"/>
                <w:lang w:val="en-US" w:eastAsia="zh-CN"/>
              </w:rPr>
              <w:t>8.4</w:t>
            </w:r>
          </w:p>
        </w:tc>
        <w:tc>
          <w:tcPr>
            <w:tcW w:w="1811" w:type="dxa"/>
            <w:vAlign w:val="center"/>
          </w:tcPr>
          <w:p>
            <w:pPr>
              <w:spacing w:before="40" w:after="40"/>
              <w:rPr>
                <w:rFonts w:hint="eastAsia"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3</w:t>
            </w: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ascii="宋体" w:hAnsi="宋体"/>
                <w:sz w:val="21"/>
                <w:lang w:val="en-US" w:eastAsia="zh-CN"/>
              </w:rPr>
              <w:t>手册中有关7.1.5.2条款识别与公司运行过程不符。</w:t>
            </w:r>
          </w:p>
        </w:tc>
        <w:tc>
          <w:tcPr>
            <w:tcW w:w="1688" w:type="dxa"/>
            <w:vAlign w:val="center"/>
          </w:tcPr>
          <w:p>
            <w:pPr>
              <w:spacing w:before="40" w:after="40"/>
              <w:rPr>
                <w:rFonts w:hint="default" w:ascii="宋体" w:hAnsi="宋体"/>
                <w:sz w:val="21"/>
                <w:lang w:val="en-US" w:eastAsia="zh-CN"/>
              </w:rPr>
            </w:pPr>
            <w:r>
              <w:rPr>
                <w:rFonts w:hint="eastAsia" w:ascii="宋体" w:hAnsi="宋体"/>
                <w:sz w:val="21"/>
                <w:lang w:val="en-US" w:eastAsia="zh-CN"/>
              </w:rPr>
              <w:t>7.1.5.2</w:t>
            </w:r>
          </w:p>
        </w:tc>
        <w:tc>
          <w:tcPr>
            <w:tcW w:w="1811" w:type="dxa"/>
            <w:vAlign w:val="center"/>
          </w:tcPr>
          <w:p>
            <w:pPr>
              <w:spacing w:before="40" w:after="40"/>
              <w:rPr>
                <w:rFonts w:hint="eastAsia"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19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王莹</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19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林兵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19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AE5151"/>
    <w:rsid w:val="28407FCA"/>
    <w:rsid w:val="4B3B78D3"/>
    <w:rsid w:val="573E4510"/>
    <w:rsid w:val="5FF35556"/>
    <w:rsid w:val="61812E6A"/>
    <w:rsid w:val="66432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2020-04-24T06:17:44Z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