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整个公司，</w:t>
            </w:r>
            <w:r>
              <w:rPr>
                <w:rFonts w:hint="eastAsia"/>
                <w:sz w:val="24"/>
                <w:szCs w:val="24"/>
              </w:rPr>
              <w:t>主管领导</w:t>
            </w:r>
            <w:r>
              <w:rPr>
                <w:rFonts w:hint="eastAsia"/>
                <w:sz w:val="24"/>
                <w:szCs w:val="24"/>
                <w:lang w:eastAsia="zh-CN"/>
              </w:rPr>
              <w:t>：</w:t>
            </w:r>
            <w:r>
              <w:rPr>
                <w:rFonts w:hint="eastAsia"/>
                <w:sz w:val="24"/>
                <w:szCs w:val="24"/>
                <w:lang w:val="en-US" w:eastAsia="zh-CN"/>
              </w:rPr>
              <w:t xml:space="preserve">杨国方 </w:t>
            </w:r>
            <w:r>
              <w:rPr>
                <w:rFonts w:hint="eastAsia"/>
                <w:sz w:val="24"/>
                <w:szCs w:val="24"/>
              </w:rPr>
              <w:t>/陪同人员</w:t>
            </w:r>
            <w:r>
              <w:rPr>
                <w:rFonts w:hint="eastAsia"/>
                <w:sz w:val="24"/>
                <w:szCs w:val="24"/>
                <w:lang w:eastAsia="zh-CN"/>
              </w:rPr>
              <w:t>：</w:t>
            </w:r>
            <w:r>
              <w:rPr>
                <w:rFonts w:hint="eastAsia"/>
                <w:sz w:val="24"/>
                <w:szCs w:val="24"/>
                <w:lang w:val="en-US" w:eastAsia="zh-CN"/>
              </w:rPr>
              <w:t>朱莹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林兵、任泽华、王央央；</w:t>
            </w:r>
            <w:r>
              <w:rPr>
                <w:rFonts w:hint="eastAsia"/>
                <w:sz w:val="24"/>
                <w:szCs w:val="24"/>
              </w:rPr>
              <w:t>审核时间：</w:t>
            </w:r>
            <w:r>
              <w:rPr>
                <w:rFonts w:hint="eastAsia"/>
                <w:sz w:val="24"/>
                <w:szCs w:val="24"/>
                <w:lang w:val="en-US" w:eastAsia="zh-CN"/>
              </w:rPr>
              <w:t>2020年4月19日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Merge w:val="restart"/>
          </w:tcPr>
          <w:p>
            <w:pPr>
              <w:rPr>
                <w:rFonts w:hint="default" w:eastAsia="宋体"/>
                <w:lang w:val="en-US" w:eastAsia="zh-CN"/>
              </w:rPr>
            </w:pPr>
            <w:r>
              <w:rPr>
                <w:rFonts w:hint="eastAsia"/>
                <w:lang w:val="en-US" w:eastAsia="zh-CN"/>
              </w:rPr>
              <w:t xml:space="preserve">企业基本情况 </w:t>
            </w:r>
          </w:p>
        </w:tc>
        <w:tc>
          <w:tcPr>
            <w:tcW w:w="960" w:type="dxa"/>
          </w:tcPr>
          <w:p/>
        </w:tc>
        <w:tc>
          <w:tcPr>
            <w:tcW w:w="10004" w:type="dxa"/>
            <w:vAlign w:val="top"/>
          </w:tcPr>
          <w:p>
            <w:pPr>
              <w:adjustRightInd w:val="0"/>
              <w:spacing w:line="280" w:lineRule="exact"/>
              <w:jc w:val="left"/>
              <w:rPr>
                <w:rFonts w:ascii="宋体"/>
              </w:rPr>
            </w:pPr>
            <w:r>
              <w:rPr>
                <w:rFonts w:hint="eastAsia" w:ascii="宋体" w:hAnsi="宋体"/>
                <w:lang w:val="en-US" w:eastAsia="zh-CN"/>
              </w:rPr>
              <w:t>1、</w:t>
            </w:r>
            <w:r>
              <w:rPr>
                <w:rFonts w:hint="eastAsia" w:ascii="宋体" w:hAnsi="宋体"/>
              </w:rPr>
              <w:t>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杨国方</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洪小燕</w:t>
            </w:r>
            <w:r>
              <w:rPr>
                <w:rFonts w:hint="eastAsia" w:ascii="宋体" w:hAnsi="宋体"/>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lang w:val="en-US" w:eastAsia="zh-CN"/>
              </w:rPr>
              <w:t>3）</w:t>
            </w:r>
            <w:r>
              <w:rPr>
                <w:rFonts w:hint="eastAsia" w:ascii="宋体" w:hAnsi="宋体"/>
                <w:szCs w:val="21"/>
              </w:rPr>
              <w:t>■</w:t>
            </w:r>
            <w:r>
              <w:rPr>
                <w:rFonts w:hint="eastAsia" w:ascii="宋体" w:hAnsi="宋体"/>
              </w:rPr>
              <w:t>任命</w:t>
            </w:r>
            <w:r>
              <w:rPr>
                <w:rFonts w:hint="eastAsia" w:ascii="宋体" w:hAnsi="宋体"/>
                <w:lang w:val="en-US" w:eastAsia="zh-CN"/>
              </w:rPr>
              <w:t xml:space="preserve">安全事务代表： </w:t>
            </w:r>
            <w:r>
              <w:rPr>
                <w:rFonts w:hint="eastAsia" w:ascii="宋体" w:hAnsi="宋体"/>
                <w:szCs w:val="22"/>
                <w:u w:val="single"/>
                <w:lang w:val="en-US" w:eastAsia="zh-CN"/>
              </w:rPr>
              <w:t xml:space="preserve">朱莹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Merge w:val="continue"/>
          </w:tcPr>
          <w:p/>
        </w:tc>
        <w:tc>
          <w:tcPr>
            <w:tcW w:w="960" w:type="dxa"/>
          </w:tcPr>
          <w:p/>
        </w:tc>
        <w:tc>
          <w:tcPr>
            <w:tcW w:w="10004"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1</w:t>
            </w:r>
            <w:r>
              <w:rPr>
                <w:rFonts w:hint="eastAsia" w:ascii="宋体" w:hAnsi="宋体"/>
                <w:u w:val="single"/>
                <w:lang w:val="en-US" w:eastAsia="zh-CN"/>
              </w:rPr>
              <w:t>0</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w:t>
            </w:r>
            <w:r>
              <w:rPr>
                <w:rFonts w:hint="eastAsia" w:ascii="宋体" w:hAnsi="宋体"/>
                <w:lang w:val="en-US" w:eastAsia="zh-CN"/>
              </w:rPr>
              <w:t xml:space="preserve">0 </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各</w:t>
            </w:r>
            <w:r>
              <w:rPr>
                <w:rFonts w:ascii="宋体" w:hAnsi="宋体"/>
                <w:u w:val="single"/>
              </w:rPr>
              <w:t xml:space="preserve">11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160" w:type="dxa"/>
            <w:vMerge w:val="continue"/>
          </w:tcPr>
          <w:p/>
        </w:tc>
        <w:tc>
          <w:tcPr>
            <w:tcW w:w="960" w:type="dxa"/>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210" w:firstLineChars="100"/>
              <w:jc w:val="left"/>
              <w:rPr>
                <w:rFonts w:ascii="宋体"/>
                <w:szCs w:val="21"/>
                <w:u w:val="single"/>
              </w:rPr>
            </w:pPr>
            <w:r>
              <w:rPr>
                <w:rFonts w:hint="eastAsia" w:ascii="宋体"/>
                <w:szCs w:val="21"/>
                <w:u w:val="single"/>
                <w:lang w:val="en-US" w:eastAsia="zh-CN"/>
              </w:rPr>
              <w:t>销供部</w:t>
            </w:r>
            <w:r>
              <w:rPr>
                <w:rFonts w:hint="eastAsia" w:ascii="宋体"/>
                <w:szCs w:val="21"/>
                <w:u w:val="single"/>
              </w:rPr>
              <w:t>、</w:t>
            </w:r>
            <w:r>
              <w:rPr>
                <w:rFonts w:ascii="宋体"/>
                <w:szCs w:val="21"/>
                <w:u w:val="single"/>
              </w:rPr>
              <w:t>办公室</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004" w:type="dxa"/>
            <w:vAlign w:val="top"/>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rFonts w:hint="eastAsia"/>
                <w:color w:val="000000"/>
                <w:szCs w:val="21"/>
              </w:rPr>
            </w:pPr>
            <w:r>
              <w:rPr>
                <w:rFonts w:hint="eastAsia" w:ascii="宋体" w:hAnsi="宋体"/>
                <w:szCs w:val="21"/>
              </w:rPr>
              <w:t>Q：危险化学品的批发(限许可范围内）</w:t>
            </w:r>
          </w:p>
          <w:p>
            <w:pPr>
              <w:rPr>
                <w:rFonts w:hint="eastAsia" w:ascii="宋体" w:hAnsi="宋体"/>
                <w:szCs w:val="21"/>
              </w:rPr>
            </w:pPr>
            <w:r>
              <w:rPr>
                <w:rFonts w:hint="eastAsia" w:ascii="宋体" w:hAnsi="宋体"/>
                <w:szCs w:val="21"/>
              </w:rPr>
              <w:t>E：危险化学品的批发(限许可范围内）及其相关环境管理活动</w:t>
            </w:r>
          </w:p>
          <w:p>
            <w:pPr>
              <w:adjustRightInd w:val="0"/>
              <w:spacing w:line="280" w:lineRule="exact"/>
              <w:jc w:val="left"/>
              <w:rPr>
                <w:rFonts w:hint="eastAsia" w:ascii="宋体"/>
                <w:szCs w:val="21"/>
                <w:u w:val="single"/>
              </w:rPr>
            </w:pPr>
            <w:r>
              <w:rPr>
                <w:rFonts w:hint="eastAsia" w:ascii="宋体" w:hAnsi="宋体"/>
                <w:szCs w:val="21"/>
              </w:rPr>
              <w:t>O：危险化学品的批发(限许可范围内）及其相关职业健康安全管理活动</w:t>
            </w:r>
          </w:p>
          <w:p>
            <w:pPr>
              <w:adjustRightInd w:val="0"/>
              <w:spacing w:line="280" w:lineRule="exact"/>
              <w:jc w:val="left"/>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004" w:type="dxa"/>
            <w:vAlign w:val="top"/>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t>□无　</w:t>
            </w:r>
          </w:p>
          <w:p>
            <w:pPr>
              <w:adjustRightInd w:val="0"/>
              <w:spacing w:line="280" w:lineRule="exact"/>
              <w:jc w:val="left"/>
              <w:rPr>
                <w:rFonts w:hint="default" w:ascii="宋体" w:hAnsi="宋体" w:eastAsia="宋体"/>
                <w:color w:val="000000"/>
                <w:szCs w:val="21"/>
                <w:u w:val="single"/>
                <w:lang w:val="en-US" w:eastAsia="zh-CN"/>
              </w:rPr>
            </w:pPr>
            <w:r>
              <w:rPr>
                <w:rFonts w:hint="eastAsia" w:ascii="宋体" w:hAnsi="宋体" w:cs="宋体"/>
                <w:szCs w:val="21"/>
              </w:rPr>
              <w:t>■</w:t>
            </w:r>
            <w:r>
              <w:rPr>
                <w:rFonts w:hint="eastAsia" w:ascii="宋体" w:hAnsi="宋体"/>
                <w:color w:val="000000"/>
                <w:szCs w:val="21"/>
              </w:rPr>
              <w:t>有，条款及要求：</w:t>
            </w:r>
            <w:r>
              <w:rPr>
                <w:rFonts w:hint="eastAsia" w:ascii="宋体" w:hAnsi="宋体"/>
                <w:color w:val="000000"/>
                <w:szCs w:val="21"/>
                <w:u w:val="single"/>
              </w:rPr>
              <w:t>　Q：8.3</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7.1.5.2</w:t>
            </w:r>
          </w:p>
          <w:p>
            <w:pPr>
              <w:adjustRightInd w:val="0"/>
              <w:spacing w:line="280" w:lineRule="exact"/>
              <w:jc w:val="left"/>
              <w:rPr>
                <w:rFonts w:ascii="Arial" w:hAnsi="Arial" w:cs="Arial"/>
                <w:spacing w:val="-5"/>
                <w:szCs w:val="21"/>
                <w:u w:val="single"/>
              </w:rPr>
            </w:pPr>
            <w:r>
              <w:rPr>
                <w:rFonts w:hint="eastAsia" w:ascii="宋体" w:hAnsi="宋体" w:cs="宋体"/>
                <w:szCs w:val="21"/>
              </w:rPr>
              <w:t>■</w:t>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，理由</w:t>
            </w:r>
            <w:r>
              <w:rPr>
                <w:rFonts w:hint="eastAsia" w:ascii="宋体" w:hAnsi="宋体"/>
                <w:color w:val="000000"/>
                <w:szCs w:val="21"/>
                <w:lang w:eastAsia="zh-CN"/>
              </w:rPr>
              <w:t>、</w:t>
            </w:r>
            <w:r>
              <w:rPr>
                <w:rFonts w:hint="eastAsia" w:ascii="宋体" w:hAnsi="宋体"/>
                <w:color w:val="000000"/>
                <w:szCs w:val="21"/>
                <w:lang w:val="en-US" w:eastAsia="zh-CN"/>
              </w:rPr>
              <w:t>销售服务过程主要依据客户要求进行采购或招标文件进行采购，过程简单</w:t>
            </w:r>
            <w:r>
              <w:rPr>
                <w:rFonts w:hint="eastAsia" w:ascii="宋体" w:hAnsi="宋体"/>
                <w:color w:val="000000"/>
                <w:szCs w:val="21"/>
                <w:u w:val="single"/>
              </w:rPr>
              <w:t>，无需再设计开发，删减Q8.3</w:t>
            </w:r>
            <w:r>
              <w:rPr>
                <w:rFonts w:hint="eastAsia" w:ascii="Arial" w:hAnsi="Arial" w:cs="Arial"/>
                <w:spacing w:val="-5"/>
                <w:szCs w:val="21"/>
                <w:u w:val="single"/>
              </w:rPr>
              <w:t>条款，删减合理。</w:t>
            </w:r>
          </w:p>
          <w:p>
            <w:pPr>
              <w:adjustRightInd w:val="0"/>
              <w:spacing w:line="280" w:lineRule="exact"/>
              <w:jc w:val="left"/>
              <w:rPr>
                <w:rFonts w:hint="eastAsia"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restart"/>
            <w:vAlign w:val="top"/>
          </w:tcPr>
          <w:p>
            <w:pPr>
              <w:jc w:val="left"/>
            </w:pPr>
            <w:r>
              <w:rPr>
                <w:rFonts w:hint="eastAsia" w:ascii="宋体" w:hAnsi="宋体"/>
                <w:b/>
                <w:bCs/>
              </w:rPr>
              <w:t>管理体系文件</w:t>
            </w:r>
          </w:p>
        </w:tc>
        <w:tc>
          <w:tcPr>
            <w:tcW w:w="960" w:type="dxa"/>
          </w:tcPr>
          <w:p/>
        </w:tc>
        <w:tc>
          <w:tcPr>
            <w:tcW w:w="10004"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年</w:t>
            </w:r>
            <w:r>
              <w:rPr>
                <w:rFonts w:hint="eastAsia" w:ascii="宋体" w:hAnsi="宋体"/>
                <w:u w:val="single"/>
                <w:lang w:val="en-US" w:eastAsia="zh-CN"/>
              </w:rPr>
              <w:t>1</w:t>
            </w:r>
            <w:r>
              <w:rPr>
                <w:rFonts w:hint="eastAsia" w:ascii="宋体" w:hAnsi="宋体"/>
                <w:u w:val="single"/>
              </w:rPr>
              <w:t>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vAlign w:val="top"/>
          </w:tcPr>
          <w:p>
            <w:pPr>
              <w:jc w:val="left"/>
            </w:pPr>
          </w:p>
        </w:tc>
        <w:tc>
          <w:tcPr>
            <w:tcW w:w="960" w:type="dxa"/>
          </w:tcPr>
          <w:p/>
        </w:tc>
        <w:tc>
          <w:tcPr>
            <w:tcW w:w="10004" w:type="dxa"/>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color w:val="333333"/>
                <w:szCs w:val="21"/>
              </w:rPr>
            </w:pPr>
            <w:r>
              <w:rPr>
                <w:rFonts w:hint="eastAsia" w:ascii="Arial" w:hAnsi="Arial" w:cs="Arial"/>
                <w:szCs w:val="21"/>
              </w:rPr>
              <w:t>管理制度、作业指导书、检验规范。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vAlign w:val="top"/>
          </w:tcPr>
          <w:p>
            <w:pPr>
              <w:jc w:val="left"/>
            </w:pPr>
          </w:p>
        </w:tc>
        <w:tc>
          <w:tcPr>
            <w:tcW w:w="960" w:type="dxa"/>
          </w:tcPr>
          <w:p/>
        </w:tc>
        <w:tc>
          <w:tcPr>
            <w:tcW w:w="10004" w:type="dxa"/>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年</w:t>
            </w:r>
            <w:r>
              <w:rPr>
                <w:rFonts w:hint="eastAsia" w:ascii="宋体" w:hAnsi="宋体"/>
                <w:szCs w:val="22"/>
                <w:lang w:val="en-US" w:eastAsia="zh-CN"/>
              </w:rPr>
              <w:t>1</w:t>
            </w:r>
            <w:r>
              <w:rPr>
                <w:rFonts w:hint="eastAsia" w:ascii="宋体" w:hAnsi="宋体"/>
                <w:szCs w:val="22"/>
              </w:rPr>
              <w:t>月</w:t>
            </w:r>
            <w:r>
              <w:rPr>
                <w:rFonts w:ascii="宋体" w:hAnsi="宋体"/>
                <w:szCs w:val="22"/>
              </w:rPr>
              <w:t>6</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hint="eastAsia"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restart"/>
          </w:tcPr>
          <w:p>
            <w:r>
              <w:rPr>
                <w:rFonts w:hint="eastAsia" w:ascii="宋体" w:hAnsi="宋体"/>
                <w:b/>
                <w:szCs w:val="21"/>
              </w:rPr>
              <w:t>重要过程及重要因素</w:t>
            </w:r>
            <w:r>
              <w:rPr>
                <w:rFonts w:hint="eastAsia" w:ascii="宋体" w:hAnsi="宋体"/>
                <w:b/>
                <w:szCs w:val="21"/>
                <w:lang w:eastAsia="zh-CN"/>
              </w:rPr>
              <w:t>、</w:t>
            </w:r>
            <w:r>
              <w:rPr>
                <w:rFonts w:hint="eastAsia" w:ascii="宋体" w:hAnsi="宋体"/>
                <w:b/>
                <w:szCs w:val="21"/>
                <w:lang w:val="en-US" w:eastAsia="zh-CN"/>
              </w:rPr>
              <w:t>重要危险源</w:t>
            </w:r>
            <w:r>
              <w:rPr>
                <w:rFonts w:hint="eastAsia" w:ascii="宋体" w:hAnsi="宋体"/>
                <w:b/>
                <w:szCs w:val="21"/>
              </w:rPr>
              <w:t>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vMerge w:val="restart"/>
          </w:tcPr>
          <w:p>
            <w:pPr>
              <w:rPr>
                <w:rFonts w:hint="default" w:eastAsia="宋体"/>
                <w:lang w:val="en-US" w:eastAsia="zh-CN"/>
              </w:rPr>
            </w:pPr>
            <w:r>
              <w:rPr>
                <w:rFonts w:hint="eastAsia"/>
                <w:szCs w:val="21"/>
                <w:lang w:val="en-US" w:eastAsia="zh-CN"/>
              </w:rPr>
              <w:t>6.1</w:t>
            </w:r>
          </w:p>
        </w:tc>
        <w:tc>
          <w:tcPr>
            <w:tcW w:w="10004" w:type="dxa"/>
            <w:vAlign w:val="top"/>
          </w:tcPr>
          <w:p>
            <w:pPr>
              <w:adjustRightInd w:val="0"/>
              <w:spacing w:line="360" w:lineRule="auto"/>
              <w:jc w:val="left"/>
              <w:rPr>
                <w:szCs w:val="21"/>
              </w:rPr>
            </w:pPr>
            <w:r>
              <w:rPr>
                <w:rFonts w:hint="eastAsia"/>
                <w:szCs w:val="21"/>
              </w:rPr>
              <w:t>与组织目标和战略方向相关并影响其实现管理体系预期结果的各种外部和内部因素:</w:t>
            </w:r>
          </w:p>
          <w:p>
            <w:pPr>
              <w:adjustRightInd w:val="0"/>
              <w:spacing w:line="360" w:lineRule="auto"/>
              <w:jc w:val="left"/>
              <w:rPr>
                <w:szCs w:val="21"/>
              </w:rPr>
            </w:pPr>
            <w:r>
              <w:rPr>
                <w:rFonts w:hint="eastAsia"/>
                <w:szCs w:val="21"/>
              </w:rPr>
              <w:t>1）确定情况：</w:t>
            </w:r>
          </w:p>
          <w:p>
            <w:pPr>
              <w:adjustRightInd w:val="0"/>
              <w:spacing w:line="360" w:lineRule="auto"/>
              <w:jc w:val="left"/>
              <w:rPr>
                <w:szCs w:val="21"/>
              </w:rPr>
            </w:pPr>
            <w:r>
              <w:rPr>
                <w:rFonts w:hint="eastAsia"/>
                <w:szCs w:val="21"/>
              </w:rPr>
              <w:t>提供《组织的内外重要环境因素分析表》，确定了公司相关的内外部因素。</w:t>
            </w:r>
          </w:p>
          <w:p>
            <w:pPr>
              <w:adjustRightInd w:val="0"/>
              <w:spacing w:line="360" w:lineRule="auto"/>
              <w:jc w:val="left"/>
              <w:rPr>
                <w:szCs w:val="21"/>
              </w:rPr>
            </w:pPr>
            <w:r>
              <w:rPr>
                <w:rFonts w:hint="eastAsia"/>
                <w:szCs w:val="21"/>
              </w:rPr>
              <w:t>2）监视和评审情况：</w:t>
            </w:r>
          </w:p>
          <w:p>
            <w:pPr>
              <w:adjustRightInd w:val="0"/>
              <w:spacing w:line="360" w:lineRule="auto"/>
              <w:jc w:val="left"/>
              <w:rPr>
                <w:rFonts w:hint="eastAsia" w:ascii="Arial" w:hAnsi="Arial" w:cs="Arial"/>
                <w:szCs w:val="21"/>
              </w:rPr>
            </w:pPr>
            <w:r>
              <w:rPr>
                <w:rFonts w:hint="eastAsia"/>
                <w:szCs w:val="21"/>
              </w:rPr>
              <w:t xml:space="preserve">   每年监视评审一次，一般是从网络获取。</w:t>
            </w:r>
            <w:r>
              <w:rPr>
                <w:rFonts w:hint="eastAsia"/>
                <w:color w:val="4F81BD"/>
                <w:szCs w:val="21"/>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004" w:type="dxa"/>
            <w:vAlign w:val="top"/>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szCs w:val="21"/>
                <w:lang w:val="en-US"/>
              </w:rPr>
            </w:pPr>
            <w:r>
              <w:rPr>
                <w:rFonts w:hint="eastAsia" w:ascii="宋体" w:hAnsi="宋体"/>
                <w:szCs w:val="21"/>
              </w:rPr>
              <w:t xml:space="preserve">    </w:t>
            </w:r>
            <w:r>
              <w:rPr>
                <w:rFonts w:hint="eastAsia"/>
                <w:szCs w:val="21"/>
              </w:rPr>
              <w:t xml:space="preserve"> </w:t>
            </w:r>
            <w:r>
              <w:rPr>
                <w:rFonts w:hint="eastAsia"/>
                <w:szCs w:val="21"/>
                <w:lang w:val="en-US" w:eastAsia="zh-CN"/>
              </w:rPr>
              <w:t>销售</w:t>
            </w:r>
            <w:r>
              <w:rPr>
                <w:rFonts w:hint="eastAsia"/>
                <w:szCs w:val="21"/>
              </w:rPr>
              <w:t>服务提供过程：</w:t>
            </w:r>
            <w:r>
              <w:rPr>
                <w:rFonts w:hint="eastAsia"/>
                <w:b/>
                <w:sz w:val="20"/>
                <w:lang w:val="en-US" w:eastAsia="zh-CN"/>
              </w:rPr>
              <w:t>需求信息（组织招投标书等）-签订合同-采购（向合格供应商订货）-给出产品及运输等要求-送货-客户化验确认-回收送货单-服务确认（订单统计确认）</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w:t>
            </w:r>
            <w:r>
              <w:rPr>
                <w:rFonts w:hint="eastAsia" w:ascii="宋体" w:hAnsi="宋体"/>
                <w:color w:val="4F81BD"/>
                <w:szCs w:val="21"/>
                <w:lang w:val="en-US" w:eastAsia="zh-CN"/>
              </w:rPr>
              <w:t>O</w:t>
            </w:r>
            <w:r>
              <w:rPr>
                <w:rFonts w:hint="eastAsia" w:ascii="宋体" w:hAnsi="宋体"/>
                <w:szCs w:val="21"/>
              </w:rPr>
              <w:t>）：</w:t>
            </w:r>
          </w:p>
          <w:p>
            <w:pPr>
              <w:adjustRightInd w:val="0"/>
              <w:spacing w:line="360" w:lineRule="auto"/>
              <w:ind w:firstLine="315" w:firstLineChars="150"/>
              <w:jc w:val="left"/>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投标</w:t>
            </w:r>
            <w:r>
              <w:rPr>
                <w:rFonts w:hint="eastAsia" w:ascii="宋体" w:hAnsi="宋体"/>
              </w:rPr>
              <w:t>过程</w:t>
            </w:r>
            <w:r>
              <w:rPr>
                <w:rFonts w:hint="eastAsia" w:ascii="宋体" w:hAnsi="宋体"/>
                <w:lang w:eastAsia="zh-CN"/>
              </w:rPr>
              <w:t>、</w:t>
            </w:r>
            <w:r>
              <w:rPr>
                <w:rFonts w:hint="eastAsia" w:ascii="宋体" w:hAnsi="宋体"/>
                <w:lang w:val="en-US" w:eastAsia="zh-CN"/>
              </w:rPr>
              <w:t xml:space="preserve">服务完成确认过程 </w:t>
            </w:r>
          </w:p>
          <w:p>
            <w:pPr>
              <w:adjustRightInd w:val="0"/>
              <w:spacing w:line="360" w:lineRule="auto"/>
              <w:ind w:firstLine="315" w:firstLineChars="150"/>
              <w:jc w:val="left"/>
              <w:rPr>
                <w:rFonts w:hint="eastAsia"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tc>
        <w:tc>
          <w:tcPr>
            <w:tcW w:w="960" w:type="dxa"/>
          </w:tcPr>
          <w:p/>
        </w:tc>
        <w:tc>
          <w:tcPr>
            <w:tcW w:w="10004" w:type="dxa"/>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ascii="宋体" w:hAnsi="宋体"/>
              </w:rPr>
            </w:pPr>
            <w:r>
              <w:rPr>
                <w:rFonts w:hint="eastAsia" w:ascii="宋体" w:hAnsi="宋体" w:cs="宋体"/>
                <w:szCs w:val="21"/>
              </w:rPr>
              <w:t>■</w:t>
            </w:r>
            <w:r>
              <w:rPr>
                <w:rFonts w:hint="eastAsia" w:ascii="宋体" w:hAnsi="宋体"/>
                <w:szCs w:val="21"/>
              </w:rPr>
              <w:t>无</w:t>
            </w:r>
            <w:r>
              <w:rPr>
                <w:rFonts w:ascii="宋体" w:hAnsi="宋体"/>
                <w:szCs w:val="21"/>
              </w:rPr>
              <w:t xml:space="preserve"> </w:t>
            </w:r>
            <w:r>
              <w:rPr>
                <w:rFonts w:hint="eastAsia" w:ascii="宋体" w:hAnsi="宋体"/>
                <w:szCs w:val="21"/>
              </w:rPr>
              <w:t xml:space="preserve">  □有，说明具体的外包过程</w:t>
            </w:r>
            <w:r>
              <w:rPr>
                <w:rFonts w:hint="eastAsia" w:ascii="宋体" w:hAnsi="宋体"/>
                <w:color w:val="4F81BD"/>
                <w:szCs w:val="21"/>
              </w:rPr>
              <w:t>及管理控制情况</w:t>
            </w:r>
            <w:r>
              <w:rPr>
                <w:rFonts w:hint="eastAsia" w:ascii="宋体" w:hAnsi="宋体"/>
                <w:color w:val="4F81BD"/>
              </w:rPr>
              <w:t>：</w:t>
            </w:r>
          </w:p>
          <w:p>
            <w:pPr>
              <w:tabs>
                <w:tab w:val="left" w:pos="1305"/>
              </w:tabs>
              <w:rPr>
                <w:rFonts w:hint="eastAsia" w:ascii="宋体" w:hAnsi="宋体"/>
                <w:szCs w:val="21"/>
              </w:rPr>
            </w:pPr>
            <w:r>
              <w:rPr>
                <w:rFonts w:hint="eastAsia" w:ascii="宋体" w:hAnsi="宋体"/>
              </w:rPr>
              <w:t xml:space="preserve">   </w:t>
            </w:r>
            <w:r>
              <w:rPr>
                <w:rFonts w:hint="eastAsia" w:ascii="宋体" w:hAnsi="宋体"/>
                <w:u w:val="single"/>
              </w:rPr>
              <w:t>今后如有发生按照Q8.4条款要求进行控制。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办公过程、采购过程、销售过程的环境因素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ascii="宋体"/>
              </w:rPr>
            </w:pPr>
            <w:r>
              <w:rPr>
                <w:rFonts w:hint="eastAsia" w:ascii="宋体" w:hAnsi="宋体"/>
                <w:u w:val="single"/>
              </w:rPr>
              <w:t>危废（墨盒、硒鼓、灯管）排放、火灾发生、能源/资源的消耗。</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szCs w:val="21"/>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办公过程、采购过程、销售过程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项，包括：</w:t>
            </w:r>
          </w:p>
          <w:p>
            <w:pPr>
              <w:adjustRightInd w:val="0"/>
              <w:spacing w:line="360" w:lineRule="auto"/>
              <w:jc w:val="left"/>
              <w:rPr>
                <w:rFonts w:ascii="宋体"/>
              </w:rPr>
            </w:pPr>
            <w:r>
              <w:rPr>
                <w:rFonts w:hint="eastAsia" w:ascii="宋体" w:hAnsi="宋体"/>
                <w:u w:val="single"/>
              </w:rPr>
              <w:t xml:space="preserve"> </w:t>
            </w:r>
            <w:r>
              <w:rPr>
                <w:rFonts w:ascii="宋体" w:hAnsi="宋体"/>
                <w:u w:val="single"/>
              </w:rPr>
              <w:t xml:space="preserve">  </w:t>
            </w:r>
            <w:r>
              <w:rPr>
                <w:rFonts w:hint="eastAsia" w:ascii="宋体" w:hAnsi="宋体"/>
                <w:u w:val="single"/>
              </w:rPr>
              <w:t>触电、火灾、交通事故、中暑</w:t>
            </w:r>
            <w:r>
              <w:rPr>
                <w:rFonts w:ascii="宋体" w:hAnsi="宋体"/>
                <w:u w:val="single"/>
              </w:rPr>
              <w:t xml:space="preserve"> </w:t>
            </w:r>
            <w:r>
              <w:rPr>
                <w:rFonts w:hint="eastAsia" w:ascii="宋体" w:hAnsi="宋体"/>
                <w:u w:val="single"/>
              </w:rPr>
              <w:t>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hint="eastAsia" w:ascii="宋体" w:hAnsi="宋体"/>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60" w:type="dxa"/>
            <w:vMerge w:val="restart"/>
          </w:tcPr>
          <w:p>
            <w:r>
              <w:rPr>
                <w:rFonts w:hint="eastAsia" w:ascii="宋体" w:hAnsi="宋体"/>
                <w:b/>
                <w:szCs w:val="21"/>
              </w:rPr>
              <w:t>相关法律法规及其它要求的遵守情况</w:t>
            </w:r>
          </w:p>
        </w:tc>
        <w:tc>
          <w:tcPr>
            <w:tcW w:w="960" w:type="dxa"/>
            <w:vMerge w:val="restart"/>
          </w:tcP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hint="default" w:ascii="宋体"/>
                <w:color w:val="000000"/>
                <w:szCs w:val="21"/>
                <w:lang w:val="en-US"/>
              </w:rPr>
            </w:pPr>
            <w:r>
              <w:rPr>
                <w:rFonts w:hint="eastAsia" w:ascii="宋体" w:hAnsi="宋体"/>
              </w:rPr>
              <w:t>□</w:t>
            </w:r>
            <w:r>
              <w:rPr>
                <w:rFonts w:hint="eastAsia" w:ascii="宋体" w:hAnsi="宋体"/>
                <w:color w:val="000000"/>
              </w:rPr>
              <w:t>三同时验收报告；</w:t>
            </w:r>
            <w:r>
              <w:rPr>
                <w:rFonts w:hint="eastAsia" w:ascii="宋体" w:hAnsi="宋体"/>
                <w:lang w:eastAsia="zh-CN"/>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lang w:val="en-US" w:eastAsia="zh-CN"/>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szCs w:val="21"/>
              </w:rPr>
              <w:t>■</w:t>
            </w: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hint="eastAsia" w:ascii="宋体" w:hAnsi="宋体"/>
                <w:szCs w:val="21"/>
              </w:rPr>
            </w:pPr>
            <w:r>
              <w:rPr>
                <w:rFonts w:ascii="宋体" w:hAnsi="宋体"/>
                <w:szCs w:val="21"/>
              </w:rPr>
              <w:t>2</w:t>
            </w:r>
            <w:r>
              <w:rPr>
                <w:rFonts w:hint="eastAsia" w:ascii="宋体" w:hAnsi="宋体"/>
                <w:szCs w:val="21"/>
              </w:rPr>
              <w:t>、组织识别了适用的法律、法规、标准和规范，主要包括：</w:t>
            </w:r>
            <w:r>
              <w:rPr>
                <w:rFonts w:ascii="宋体" w:hAnsi="宋体"/>
                <w:szCs w:val="21"/>
                <w:u w:val="single"/>
              </w:rPr>
              <w:t xml:space="preserve">  </w:t>
            </w:r>
            <w:r>
              <w:rPr>
                <w:rFonts w:hint="eastAsia" w:ascii="宋体" w:hAnsi="宋体"/>
                <w:szCs w:val="24"/>
                <w:u w:val="single"/>
              </w:rPr>
              <w:t>环保法、质量法、消防法、大气污染防治法、水污染防治法、所识别的法律法规中中华人民共和国环境噪声污染防治法（2016）、中华人民共和国消防法（2009）、中华人民共和国环境影响评价法（2016）等未收集最新修订版本。</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restart"/>
          </w:tcPr>
          <w:p>
            <w:r>
              <w:rPr>
                <w:rFonts w:hint="eastAsia" w:ascii="宋体" w:hAnsi="宋体"/>
                <w:b/>
                <w:szCs w:val="21"/>
              </w:rPr>
              <w:t>运行控制和关键绩效：</w:t>
            </w:r>
          </w:p>
        </w:tc>
        <w:tc>
          <w:tcPr>
            <w:tcW w:w="960" w:type="dxa"/>
            <w:vMerge w:val="restart"/>
          </w:tcPr>
          <w:p>
            <w:pPr>
              <w:rPr>
                <w:rFonts w:hint="default" w:eastAsia="宋体"/>
                <w:lang w:val="en-US" w:eastAsia="zh-CN"/>
              </w:rPr>
            </w:pPr>
            <w:r>
              <w:rPr>
                <w:rFonts w:hint="eastAsia"/>
                <w:lang w:val="en-US" w:eastAsia="zh-CN"/>
              </w:rPr>
              <w:t>8.1</w:t>
            </w: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w:t>
            </w:r>
            <w:r>
              <w:rPr>
                <w:rFonts w:hint="eastAsia" w:ascii="宋体" w:hAnsi="宋体"/>
                <w:lang w:val="en-US" w:eastAsia="zh-CN"/>
              </w:rPr>
              <w:t>O</w:t>
            </w:r>
            <w:r>
              <w:rPr>
                <w:rFonts w:hint="eastAsia" w:ascii="宋体" w:hAnsi="宋体"/>
              </w:rPr>
              <w:t>）产品</w:t>
            </w:r>
            <w:r>
              <w:rPr>
                <w:rFonts w:ascii="宋体" w:hAnsi="宋体"/>
              </w:rPr>
              <w:t>/</w:t>
            </w:r>
            <w:r>
              <w:rPr>
                <w:rFonts w:hint="eastAsia" w:ascii="宋体" w:hAnsi="宋体"/>
              </w:rPr>
              <w:t>服务执行标准为：</w:t>
            </w:r>
            <w:r>
              <w:rPr>
                <w:rFonts w:hint="eastAsia" w:ascii="宋体" w:hAnsi="宋体"/>
                <w:u w:val="single"/>
                <w:lang w:val="en-US" w:eastAsia="zh-CN"/>
              </w:rPr>
              <w:t>主要依据顾客要求在合同内明确产品技术要求、送货信息等</w:t>
            </w:r>
            <w:r>
              <w:rPr>
                <w:rFonts w:hint="eastAsia" w:ascii="宋体"/>
                <w:u w:val="single"/>
              </w:rPr>
              <w:t>。</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eastAsia="zh-CN"/>
              </w:rPr>
              <w:t>：</w:t>
            </w:r>
            <w:r>
              <w:rPr>
                <w:rFonts w:hint="eastAsia" w:ascii="宋体" w:hAnsi="宋体"/>
                <w:lang w:val="en-US" w:eastAsia="zh-CN"/>
              </w:rPr>
              <w:t xml:space="preserve">客户方的产品检测报告（盐酸、氢氧化钠、次氯酸钠）    </w:t>
            </w: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ascii="宋体" w:hAnsi="宋体"/>
                <w:szCs w:val="21"/>
                <w:u w:val="single"/>
              </w:rPr>
              <w:t xml:space="preserve"> </w:t>
            </w:r>
            <w:r>
              <w:rPr>
                <w:rFonts w:hint="eastAsia" w:ascii="宋体" w:hAnsi="宋体"/>
                <w:szCs w:val="21"/>
                <w:u w:val="single"/>
              </w:rPr>
              <w:t>危废（墨盒、硒鼓、灯管）排放</w:t>
            </w:r>
            <w:r>
              <w:rPr>
                <w:rFonts w:hint="eastAsia" w:ascii="宋体" w:hAnsi="宋体"/>
                <w:szCs w:val="21"/>
                <w:u w:val="single"/>
                <w:lang w:val="en-US" w:eastAsia="zh-CN"/>
              </w:rPr>
              <w:t>；预防性环境因素：</w:t>
            </w:r>
            <w:r>
              <w:rPr>
                <w:rFonts w:hint="eastAsia" w:ascii="宋体" w:hAnsi="宋体"/>
                <w:szCs w:val="21"/>
                <w:u w:val="single"/>
              </w:rPr>
              <w:t>火灾发生、能源/资源的消耗等。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hint="eastAsia" w:ascii="宋体" w:hAnsi="宋体"/>
                <w:szCs w:val="21"/>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szCs w:val="21"/>
                <w:u w:val="single"/>
              </w:rPr>
              <w:t>触电、火灾、交通事故、中暑</w:t>
            </w:r>
            <w:r>
              <w:rPr>
                <w:rFonts w:hint="eastAsia" w:ascii="宋体"/>
                <w:szCs w:val="21"/>
                <w:u w:val="single"/>
                <w:lang w:eastAsia="zh-CN"/>
              </w:rPr>
              <w:t>、</w:t>
            </w:r>
            <w:r>
              <w:rPr>
                <w:rFonts w:hint="eastAsia" w:ascii="宋体"/>
                <w:szCs w:val="21"/>
                <w:u w:val="single"/>
                <w:lang w:val="en-US" w:eastAsia="zh-CN"/>
              </w:rPr>
              <w:t>防病毒</w:t>
            </w:r>
            <w:bookmarkStart w:id="0" w:name="_GoBack"/>
            <w:bookmarkEnd w:id="0"/>
            <w:r>
              <w:rPr>
                <w:rFonts w:ascii="宋体"/>
                <w:szCs w:val="21"/>
                <w:u w:val="single"/>
              </w:rPr>
              <w:t xml:space="preserve">                  </w:t>
            </w:r>
          </w:p>
          <w:p>
            <w:pPr>
              <w:adjustRightInd w:val="0"/>
              <w:spacing w:line="360" w:lineRule="auto"/>
              <w:jc w:val="left"/>
              <w:rPr>
                <w:rFonts w:hint="eastAsia"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r>
              <w:rPr>
                <w:rFonts w:hint="eastAsia" w:ascii="宋体" w:hAnsi="宋体"/>
                <w:szCs w:val="21"/>
              </w:rPr>
              <w:t>管理体系的方针、目标/指标/措施方案及实现情况</w:t>
            </w:r>
          </w:p>
        </w:tc>
        <w:tc>
          <w:tcPr>
            <w:tcW w:w="960" w:type="dxa"/>
          </w:tcPr>
          <w:p>
            <w:pPr>
              <w:rPr>
                <w:rFonts w:hint="default" w:eastAsia="宋体"/>
                <w:lang w:val="en-US" w:eastAsia="zh-CN"/>
              </w:rPr>
            </w:pPr>
            <w:r>
              <w:rPr>
                <w:rFonts w:hint="eastAsia"/>
                <w:lang w:val="en-US" w:eastAsia="zh-CN"/>
              </w:rPr>
              <w:t>5.2/6.1/6.2</w:t>
            </w:r>
          </w:p>
        </w:tc>
        <w:tc>
          <w:tcPr>
            <w:tcW w:w="10004" w:type="dxa"/>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r>
              <w:rPr>
                <w:rFonts w:hint="eastAsia" w:ascii="宋体" w:hAnsi="宋体"/>
                <w:b/>
                <w:bCs/>
                <w:szCs w:val="21"/>
              </w:rPr>
              <w:t>组织内部审核策划和实施情况</w:t>
            </w:r>
          </w:p>
        </w:tc>
        <w:tc>
          <w:tcPr>
            <w:tcW w:w="960" w:type="dxa"/>
          </w:tcPr>
          <w:p>
            <w:pPr>
              <w:rPr>
                <w:rFonts w:hint="default" w:eastAsia="宋体"/>
                <w:lang w:val="en-US" w:eastAsia="zh-CN"/>
              </w:rPr>
            </w:pPr>
            <w:r>
              <w:rPr>
                <w:rFonts w:hint="eastAsia"/>
                <w:lang w:val="en-US" w:eastAsia="zh-CN"/>
              </w:rPr>
              <w:t>9.2</w:t>
            </w:r>
          </w:p>
        </w:tc>
        <w:tc>
          <w:tcPr>
            <w:tcW w:w="10004" w:type="dxa"/>
            <w:vAlign w:val="top"/>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ascii="宋体" w:hAnsi="宋体"/>
                <w:u w:val="single"/>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3</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w:t>
            </w:r>
            <w:r>
              <w:rPr>
                <w:rFonts w:hint="eastAsia" w:ascii="宋体" w:hAnsi="宋体"/>
                <w:u w:val="single"/>
              </w:rPr>
              <w:t>8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r>
              <w:rPr>
                <w:rFonts w:hint="eastAsia" w:ascii="宋体" w:hAnsi="宋体"/>
                <w:b/>
                <w:bCs/>
                <w:szCs w:val="21"/>
              </w:rPr>
              <w:t>组织进行管理评审的情况</w:t>
            </w:r>
          </w:p>
        </w:tc>
        <w:tc>
          <w:tcPr>
            <w:tcW w:w="960" w:type="dxa"/>
          </w:tcPr>
          <w:p>
            <w:pPr>
              <w:rPr>
                <w:rFonts w:hint="default" w:eastAsia="宋体"/>
                <w:lang w:val="en-US" w:eastAsia="zh-CN"/>
              </w:rPr>
            </w:pPr>
            <w:r>
              <w:rPr>
                <w:rFonts w:hint="eastAsia"/>
                <w:lang w:val="en-US" w:eastAsia="zh-CN"/>
              </w:rPr>
              <w:t>9.3</w:t>
            </w:r>
          </w:p>
        </w:tc>
        <w:tc>
          <w:tcPr>
            <w:tcW w:w="10004" w:type="dxa"/>
            <w:vAlign w:val="top"/>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ascii="宋体" w:hAnsi="宋体"/>
                <w:u w:val="single"/>
              </w:rPr>
              <w:t xml:space="preserve">20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rPr>
              <w:t>　</w:t>
            </w:r>
            <w:r>
              <w:rPr>
                <w:rFonts w:ascii="宋体" w:hAnsi="宋体"/>
                <w:u w:val="single"/>
              </w:rPr>
              <w:t>1</w:t>
            </w:r>
            <w:r>
              <w:rPr>
                <w:rFonts w:hint="eastAsia" w:ascii="宋体" w:hAnsi="宋体"/>
                <w:u w:val="single"/>
                <w:lang w:val="en-US" w:eastAsia="zh-CN"/>
              </w:rPr>
              <w:t>2</w:t>
            </w:r>
            <w:r>
              <w:rPr>
                <w:rFonts w:hint="eastAsia" w:ascii="宋体" w:hAnsi="宋体"/>
                <w:u w:val="single"/>
              </w:rPr>
              <w:t>　</w:t>
            </w:r>
            <w:r>
              <w:rPr>
                <w:rFonts w:hint="eastAsia" w:ascii="宋体" w:hAnsi="宋体"/>
              </w:rPr>
              <w:t>日实施，由最高管理者：</w:t>
            </w:r>
            <w:r>
              <w:rPr>
                <w:rFonts w:hint="eastAsia" w:ascii="宋体" w:hAnsi="宋体"/>
                <w:lang w:val="en-US" w:eastAsia="zh-CN"/>
              </w:rPr>
              <w:t>杨国方</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公司的管理体系是适宜的、充分的和有效的，达到了顾客满意和持续改进的目的。</w:t>
            </w:r>
          </w:p>
        </w:tc>
        <w:tc>
          <w:tcPr>
            <w:tcW w:w="1585" w:type="dxa"/>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1F50D5"/>
    <w:rsid w:val="3C5C386D"/>
    <w:rsid w:val="5AB65319"/>
    <w:rsid w:val="5CA65A6F"/>
    <w:rsid w:val="6162787C"/>
    <w:rsid w:val="6D5C2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20</TotalTime>
  <ScaleCrop>false</ScaleCrop>
  <LinksUpToDate>false</LinksUpToDate>
  <CharactersWithSpaces>100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2020-04-24T03:44:52Z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