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48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久润电力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5YW53E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久润电力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新建二村18号2幢17-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渝州路4号一城精英国际31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电子与智能化工程专业承包、消防设施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与智能化工程专业承包、消防设施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专业承包、消防设施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久润电力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新建二村18号2幢17-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渝州路4号一城精英国际3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电子与智能化工程专业承包、消防设施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与智能化工程专业承包、消防设施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专业承包、消防设施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