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20728-2024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重庆华虹仪表有限公司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91500109733940972B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