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5559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天津渤化化工发展有限公司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20674-2023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70435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20674-2023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天津渤化化工发展有限公司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裴建华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刘培玉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王宗收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2025年10月13日上午至2025年10月15日上午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2025年10月13日上午至2025年10月15日上午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1676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