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重庆清元包装制品有限公司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/>
                <w:szCs w:val="21"/>
                <w:lang w:eastAsia="zh-CN"/>
              </w:rPr>
              <w:t>电子秤、钢卷尺、</w:t>
            </w:r>
            <w:r>
              <w:rPr>
                <w:rFonts w:hint="eastAsia" w:ascii="宋体" w:hAnsi="宋体"/>
                <w:szCs w:val="21"/>
              </w:rPr>
              <w:t>游标卡尺等，</w:t>
            </w:r>
            <w:r>
              <w:rPr>
                <w:rFonts w:hint="eastAsia" w:ascii="宋体" w:hAnsi="宋体"/>
                <w:szCs w:val="21"/>
                <w:lang w:eastAsia="zh-CN"/>
              </w:rPr>
              <w:t>纸板的水分、强度要求由原材料供方控制（提供原材料出厂检验报告见附件）</w:t>
            </w:r>
            <w:r>
              <w:rPr>
                <w:rFonts w:hint="eastAsia" w:ascii="宋体" w:hAnsi="宋体"/>
                <w:szCs w:val="21"/>
              </w:rPr>
              <w:t>能保证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</w:rPr>
              <w:t>的生产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未能提供电子秤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2020年4月20日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81461"/>
    <w:rsid w:val="0E3F3F72"/>
    <w:rsid w:val="7A851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2020-04-21T02:34:53Z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