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9" o:spt="75" type="#_x0000_t75" style="position:absolute;left:0pt;margin-left:169.75pt;margin-top:-36.8pt;height:117.35pt;width:135.75pt;mso-wrap-distance-left:9pt;mso-wrap-distance-right:9pt;z-index:-251660288;mso-width-relative:page;mso-height-relative:page;" filled="f" o:preferrelative="t" stroked="f" coordsize="21600,21600"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河北贝翔科技集团有限公司</w:t>
      </w:r>
      <w:bookmarkEnd w:id="0"/>
    </w:p>
    <w:p>
      <w:pPr>
        <w:snapToGrid w:val="0"/>
        <w:spacing w:afterLines="30"/>
        <w:rPr>
          <w:rFonts w:ascii="楷体" w:hAnsi="楷体" w:eastAsia="楷体"/>
          <w:b/>
          <w:color w:val="000000"/>
          <w:sz w:val="32"/>
          <w:szCs w:val="32"/>
        </w:rPr>
      </w:pPr>
    </w:p>
    <w:p>
      <w:pPr>
        <w:snapToGrid w:val="0"/>
        <w:spacing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850"/>
        <w:gridCol w:w="397"/>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gridSpan w:val="2"/>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2240" w:type="dxa"/>
            <w:gridSpan w:val="3"/>
            <w:vAlign w:val="center"/>
          </w:tcPr>
          <w:p>
            <w:pPr>
              <w:jc w:val="center"/>
              <w:rPr>
                <w:b/>
                <w:sz w:val="21"/>
                <w:szCs w:val="21"/>
              </w:rPr>
            </w:pPr>
            <w:r>
              <w:rPr>
                <w:rFonts w:hint="eastAsia"/>
                <w:b/>
                <w:sz w:val="21"/>
                <w:szCs w:val="21"/>
              </w:rPr>
              <w:t>专业代码</w:t>
            </w:r>
          </w:p>
        </w:tc>
        <w:tc>
          <w:tcPr>
            <w:tcW w:w="1217"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王志慧</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2018-N1QMS-2210615</w:t>
            </w:r>
          </w:p>
          <w:p>
            <w:pPr>
              <w:jc w:val="center"/>
              <w:rPr>
                <w:b/>
                <w:sz w:val="21"/>
                <w:szCs w:val="21"/>
              </w:rPr>
            </w:pPr>
            <w:r>
              <w:rPr>
                <w:b/>
                <w:sz w:val="21"/>
                <w:szCs w:val="21"/>
              </w:rPr>
              <w:t>2018-N1EMS-1210615</w:t>
            </w:r>
          </w:p>
          <w:p>
            <w:pPr>
              <w:jc w:val="center"/>
              <w:rPr>
                <w:b/>
                <w:sz w:val="21"/>
                <w:szCs w:val="21"/>
              </w:rPr>
            </w:pPr>
            <w:r>
              <w:rPr>
                <w:b/>
                <w:sz w:val="21"/>
                <w:szCs w:val="21"/>
              </w:rPr>
              <w:t>2018-N1OHSMS-1210615</w:t>
            </w:r>
          </w:p>
        </w:tc>
        <w:tc>
          <w:tcPr>
            <w:tcW w:w="2240" w:type="dxa"/>
            <w:gridSpan w:val="3"/>
            <w:vAlign w:val="center"/>
          </w:tcPr>
          <w:p>
            <w:pPr>
              <w:jc w:val="center"/>
              <w:rPr>
                <w:b/>
                <w:sz w:val="21"/>
                <w:szCs w:val="21"/>
              </w:rPr>
            </w:pPr>
            <w:r>
              <w:rPr>
                <w:b/>
                <w:sz w:val="21"/>
                <w:szCs w:val="21"/>
              </w:rPr>
              <w:t>Q:29.12.00</w:t>
            </w:r>
          </w:p>
          <w:p>
            <w:pPr>
              <w:jc w:val="center"/>
              <w:rPr>
                <w:b/>
                <w:sz w:val="21"/>
                <w:szCs w:val="21"/>
              </w:rPr>
            </w:pPr>
            <w:r>
              <w:rPr>
                <w:b/>
                <w:sz w:val="21"/>
                <w:szCs w:val="21"/>
              </w:rPr>
              <w:t>E:29.12.00</w:t>
            </w:r>
          </w:p>
          <w:p>
            <w:pPr>
              <w:jc w:val="center"/>
              <w:rPr>
                <w:b/>
                <w:sz w:val="21"/>
                <w:szCs w:val="21"/>
              </w:rPr>
            </w:pPr>
            <w:r>
              <w:rPr>
                <w:b/>
                <w:sz w:val="21"/>
                <w:szCs w:val="21"/>
              </w:rPr>
              <w:t>O:29.12.00</w:t>
            </w:r>
          </w:p>
        </w:tc>
        <w:tc>
          <w:tcPr>
            <w:tcW w:w="1217" w:type="dxa"/>
            <w:vAlign w:val="center"/>
          </w:tcPr>
          <w:p>
            <w:pPr>
              <w:jc w:val="center"/>
              <w:rPr>
                <w:b/>
                <w:sz w:val="21"/>
                <w:szCs w:val="21"/>
              </w:rPr>
            </w:pPr>
            <w:r>
              <w:rPr>
                <w:b/>
                <w:sz w:val="21"/>
                <w:szCs w:val="21"/>
              </w:rPr>
              <w:t>ISC-210615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周文廷</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E:专家</w:t>
            </w:r>
          </w:p>
          <w:p>
            <w:pPr>
              <w:jc w:val="center"/>
              <w:rPr>
                <w:b/>
                <w:sz w:val="21"/>
                <w:szCs w:val="21"/>
              </w:rPr>
            </w:pPr>
            <w:r>
              <w:rPr>
                <w:b/>
                <w:sz w:val="21"/>
                <w:szCs w:val="21"/>
              </w:rPr>
              <w:t>O:专家</w:t>
            </w:r>
          </w:p>
          <w:p>
            <w:pPr>
              <w:jc w:val="center"/>
              <w:rPr>
                <w:b/>
                <w:sz w:val="21"/>
                <w:szCs w:val="21"/>
              </w:rPr>
            </w:pPr>
          </w:p>
        </w:tc>
        <w:tc>
          <w:tcPr>
            <w:tcW w:w="1699" w:type="dxa"/>
            <w:vAlign w:val="center"/>
          </w:tcPr>
          <w:p>
            <w:pPr>
              <w:jc w:val="center"/>
              <w:rPr>
                <w:b/>
                <w:sz w:val="21"/>
                <w:szCs w:val="21"/>
              </w:rPr>
            </w:pPr>
            <w:r>
              <w:rPr>
                <w:b/>
                <w:sz w:val="21"/>
                <w:szCs w:val="21"/>
              </w:rPr>
              <w:t>2019-N1QMS-1244880</w:t>
            </w:r>
          </w:p>
          <w:p>
            <w:pPr>
              <w:jc w:val="center"/>
              <w:rPr>
                <w:b/>
                <w:sz w:val="21"/>
                <w:szCs w:val="21"/>
              </w:rPr>
            </w:pPr>
          </w:p>
        </w:tc>
        <w:tc>
          <w:tcPr>
            <w:tcW w:w="2240" w:type="dxa"/>
            <w:gridSpan w:val="3"/>
            <w:vAlign w:val="center"/>
          </w:tcPr>
          <w:p>
            <w:pPr>
              <w:jc w:val="center"/>
              <w:rPr>
                <w:b/>
                <w:sz w:val="21"/>
                <w:szCs w:val="21"/>
              </w:rPr>
            </w:pPr>
            <w:r>
              <w:rPr>
                <w:b/>
                <w:sz w:val="21"/>
                <w:szCs w:val="21"/>
              </w:rPr>
              <w:t>Q:29.12.00,34.06.00</w:t>
            </w:r>
          </w:p>
          <w:p>
            <w:pPr>
              <w:jc w:val="center"/>
              <w:rPr>
                <w:b/>
                <w:sz w:val="21"/>
                <w:szCs w:val="21"/>
              </w:rPr>
            </w:pPr>
            <w:r>
              <w:rPr>
                <w:b/>
                <w:sz w:val="21"/>
                <w:szCs w:val="21"/>
              </w:rPr>
              <w:t>E:29.12.00,34.06.00</w:t>
            </w:r>
          </w:p>
          <w:p>
            <w:pPr>
              <w:jc w:val="center"/>
              <w:rPr>
                <w:b/>
                <w:sz w:val="21"/>
                <w:szCs w:val="21"/>
              </w:rPr>
            </w:pPr>
            <w:r>
              <w:rPr>
                <w:b/>
                <w:sz w:val="21"/>
                <w:szCs w:val="21"/>
              </w:rPr>
              <w:t>O:29.12.00,34.06.00</w:t>
            </w:r>
          </w:p>
        </w:tc>
        <w:tc>
          <w:tcPr>
            <w:tcW w:w="1217" w:type="dxa"/>
            <w:vAlign w:val="center"/>
          </w:tcPr>
          <w:p>
            <w:pPr>
              <w:jc w:val="center"/>
              <w:rPr>
                <w:b/>
                <w:sz w:val="21"/>
                <w:szCs w:val="21"/>
              </w:rPr>
            </w:pPr>
            <w:r>
              <w:rPr>
                <w:b/>
                <w:sz w:val="21"/>
                <w:szCs w:val="21"/>
              </w:rPr>
              <w:t>ISC-244880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both"/>
              <w:rPr>
                <w:rFonts w:hint="eastAsia" w:eastAsia="宋体"/>
                <w:b/>
                <w:sz w:val="21"/>
                <w:szCs w:val="21"/>
                <w:lang w:val="en-US" w:eastAsia="zh-CN"/>
              </w:rPr>
            </w:pPr>
            <w:r>
              <w:rPr>
                <w:rFonts w:hint="eastAsia"/>
                <w:b/>
                <w:sz w:val="21"/>
                <w:szCs w:val="21"/>
                <w:lang w:val="en-US" w:eastAsia="zh-CN"/>
              </w:rPr>
              <w:t>杜红</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向导</w:t>
            </w:r>
          </w:p>
        </w:tc>
        <w:tc>
          <w:tcPr>
            <w:tcW w:w="6433" w:type="dxa"/>
            <w:gridSpan w:val="6"/>
            <w:vAlign w:val="center"/>
          </w:tcPr>
          <w:p>
            <w:pPr>
              <w:rPr>
                <w:b/>
                <w:sz w:val="21"/>
                <w:szCs w:val="21"/>
              </w:rPr>
            </w:pPr>
            <w:r>
              <w:rPr>
                <w:rFonts w:ascii="宋体"/>
                <w:b/>
                <w:sz w:val="21"/>
              </w:rPr>
              <w:t>河北贝翔科技集团有限公司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b/>
          <w:sz w:val="21"/>
          <w:szCs w:val="21"/>
        </w:rPr>
      </w:pPr>
      <w:r>
        <w:rPr>
          <w:rFonts w:hint="eastAsia"/>
          <w:b/>
          <w:sz w:val="21"/>
          <w:szCs w:val="21"/>
        </w:rPr>
        <w:sym w:font="Wingdings 2" w:char="F0A2"/>
      </w:r>
      <w:r>
        <w:rPr>
          <w:rFonts w:hint="eastAsia"/>
          <w:b/>
          <w:sz w:val="21"/>
          <w:szCs w:val="21"/>
        </w:rPr>
        <w:t>保持认证注册资格：__________</w:t>
      </w:r>
    </w:p>
    <w:p>
      <w:pPr>
        <w:tabs>
          <w:tab w:val="left" w:pos="645"/>
        </w:tabs>
        <w:rPr>
          <w:b/>
          <w:sz w:val="21"/>
          <w:szCs w:val="21"/>
        </w:rPr>
      </w:pPr>
      <w:r>
        <w:rPr>
          <w:rFonts w:hint="eastAsia"/>
          <w:b/>
          <w:sz w:val="21"/>
          <w:szCs w:val="21"/>
        </w:rPr>
        <w:t>□恢复认证注册资格：__________</w:t>
      </w:r>
    </w:p>
    <w:p>
      <w:pPr>
        <w:tabs>
          <w:tab w:val="left" w:pos="645"/>
        </w:tabs>
        <w:rPr>
          <w:b/>
          <w:sz w:val="21"/>
          <w:szCs w:val="21"/>
        </w:rPr>
      </w:pPr>
      <w:r>
        <w:rPr>
          <w:rFonts w:hint="eastAsia"/>
          <w:b/>
          <w:sz w:val="21"/>
          <w:szCs w:val="21"/>
        </w:rPr>
        <w:t>□扩大认证范围 ：</w:t>
      </w:r>
    </w:p>
    <w:p>
      <w:pPr>
        <w:tabs>
          <w:tab w:val="left" w:pos="645"/>
        </w:tabs>
        <w:rPr>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rFonts w:hint="eastAsia"/>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 </w:t>
      </w:r>
    </w:p>
    <w:p>
      <w:pPr>
        <w:tabs>
          <w:tab w:val="left" w:pos="645"/>
        </w:tabs>
        <w:rPr>
          <w:rFonts w:hint="eastAsia"/>
          <w:b/>
          <w:sz w:val="21"/>
          <w:szCs w:val="21"/>
        </w:rPr>
      </w:pPr>
      <w:bookmarkStart w:id="6" w:name="E勾选Add"/>
      <w:r>
        <w:rPr>
          <w:rFonts w:hint="eastAsia"/>
          <w:b/>
          <w:sz w:val="21"/>
          <w:szCs w:val="21"/>
        </w:rPr>
        <w:t>■</w:t>
      </w:r>
      <w:bookmarkEnd w:id="6"/>
      <w:r>
        <w:rPr>
          <w:rFonts w:hint="eastAsia"/>
          <w:b/>
          <w:sz w:val="21"/>
          <w:szCs w:val="21"/>
        </w:rPr>
        <w:t xml:space="preserve"> GB/T 24001-2016 idt ISO 14001:2015标准</w:t>
      </w:r>
    </w:p>
    <w:p>
      <w:pPr>
        <w:tabs>
          <w:tab w:val="left" w:pos="645"/>
        </w:tabs>
        <w:rPr>
          <w:rFonts w:hint="eastAsia"/>
          <w:b/>
          <w:sz w:val="21"/>
          <w:szCs w:val="21"/>
        </w:rPr>
      </w:pPr>
      <w:bookmarkStart w:id="7" w:name="S勾选Add1"/>
      <w:r>
        <w:rPr>
          <w:rFonts w:hint="eastAsia"/>
          <w:b/>
          <w:sz w:val="21"/>
          <w:szCs w:val="21"/>
        </w:rPr>
        <w:t>■</w:t>
      </w:r>
      <w:bookmarkEnd w:id="7"/>
      <w:r>
        <w:rPr>
          <w:rFonts w:hint="eastAsia"/>
          <w:b/>
          <w:sz w:val="21"/>
          <w:szCs w:val="21"/>
        </w:rPr>
        <w:t xml:space="preserve"> GB/T45001—2020/ISO 45001:2018</w:t>
      </w:r>
    </w:p>
    <w:p>
      <w:pPr>
        <w:tabs>
          <w:tab w:val="left" w:pos="645"/>
        </w:tabs>
        <w:rPr>
          <w:rFonts w:hint="eastAsia"/>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2276"/>
        <w:gridCol w:w="1037"/>
        <w:gridCol w:w="1094"/>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sz w:val="21"/>
              </w:rPr>
            </w:pPr>
            <w:bookmarkStart w:id="8" w:name="组织名称Add"/>
            <w:r>
              <w:rPr>
                <w:rFonts w:ascii="宋体"/>
                <w:b/>
                <w:sz w:val="21"/>
              </w:rPr>
              <w:t>河北贝翔科技集团有限公司</w:t>
            </w:r>
            <w:bookmarkEnd w:id="8"/>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9" w:name="注册地址"/>
            <w:r>
              <w:rPr>
                <w:rFonts w:ascii="宋体"/>
                <w:b/>
                <w:sz w:val="21"/>
              </w:rPr>
              <w:t>唐山高新技术产业园区荣华道55号</w:t>
            </w:r>
            <w:bookmarkEnd w:id="9"/>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0" w:name="注册邮编"/>
            <w:r>
              <w:rPr>
                <w:rFonts w:ascii="宋体"/>
                <w:b/>
                <w:sz w:val="21"/>
              </w:rPr>
              <w:t>063000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1" w:name="办公地址"/>
            <w:r>
              <w:rPr>
                <w:rFonts w:ascii="宋体"/>
                <w:b/>
                <w:sz w:val="21"/>
              </w:rPr>
              <w:t>唐山高新技术产业园区荣华道55号</w:t>
            </w:r>
            <w:bookmarkEnd w:id="11"/>
          </w:p>
        </w:tc>
        <w:tc>
          <w:tcPr>
            <w:tcW w:w="1672" w:type="dxa"/>
            <w:vMerge w:val="continue"/>
            <w:vAlign w:val="center"/>
          </w:tcPr>
          <w:p>
            <w:pPr>
              <w:jc w:val="center"/>
              <w:rPr>
                <w:rFonts w:ascii="宋体"/>
                <w:b/>
                <w:sz w:val="21"/>
              </w:rPr>
            </w:pPr>
          </w:p>
        </w:tc>
        <w:tc>
          <w:tcPr>
            <w:tcW w:w="1500" w:type="dxa"/>
          </w:tcPr>
          <w:p>
            <w:pPr>
              <w:rPr>
                <w:rFonts w:ascii="宋体"/>
                <w:b/>
                <w:sz w:val="21"/>
              </w:rPr>
            </w:pPr>
            <w:bookmarkStart w:id="12" w:name="办公邮编"/>
            <w:r>
              <w:rPr>
                <w:rFonts w:ascii="宋体"/>
                <w:b/>
                <w:sz w:val="21"/>
              </w:rPr>
              <w:t>063000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3" w:name="生产地址Add"/>
            <w:r>
              <w:rPr>
                <w:rFonts w:ascii="宋体"/>
                <w:b/>
                <w:sz w:val="21"/>
              </w:rPr>
              <w:t>唐山高新技术产业园区荣华道55号</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生产邮编"/>
            <w:r>
              <w:rPr>
                <w:rFonts w:ascii="宋体"/>
                <w:b/>
                <w:sz w:val="21"/>
              </w:rPr>
              <w:t>063000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2276" w:type="dxa"/>
          </w:tcPr>
          <w:p>
            <w:pPr>
              <w:rPr>
                <w:rFonts w:ascii="宋体"/>
                <w:b/>
                <w:sz w:val="21"/>
              </w:rPr>
            </w:pPr>
            <w:r>
              <w:rPr>
                <w:rFonts w:hint="eastAsia" w:ascii="宋体" w:hAnsi="宋体"/>
                <w:b/>
                <w:sz w:val="21"/>
                <w:szCs w:val="21"/>
                <w:lang w:eastAsia="zh-CN"/>
              </w:rPr>
              <w:t>杜红</w:t>
            </w:r>
          </w:p>
        </w:tc>
        <w:tc>
          <w:tcPr>
            <w:tcW w:w="1037" w:type="dxa"/>
            <w:vAlign w:val="center"/>
          </w:tcPr>
          <w:p>
            <w:pPr>
              <w:jc w:val="center"/>
              <w:rPr>
                <w:rFonts w:ascii="宋体"/>
                <w:b/>
                <w:sz w:val="21"/>
              </w:rPr>
            </w:pPr>
            <w:r>
              <w:rPr>
                <w:rFonts w:hint="eastAsia" w:ascii="宋体" w:hAnsi="宋体"/>
                <w:b/>
                <w:sz w:val="21"/>
              </w:rPr>
              <w:t>电话</w:t>
            </w:r>
            <w:r>
              <w:rPr>
                <w:b/>
                <w:sz w:val="16"/>
                <w:szCs w:val="16"/>
              </w:rPr>
              <w:t>.</w:t>
            </w:r>
          </w:p>
        </w:tc>
        <w:tc>
          <w:tcPr>
            <w:tcW w:w="1103" w:type="dxa"/>
            <w:gridSpan w:val="2"/>
            <w:vAlign w:val="center"/>
          </w:tcPr>
          <w:p>
            <w:pPr>
              <w:jc w:val="center"/>
              <w:rPr>
                <w:rFonts w:ascii="宋体"/>
                <w:b/>
                <w:sz w:val="21"/>
              </w:rPr>
            </w:pPr>
            <w:bookmarkStart w:id="15" w:name="联系人电话Add"/>
            <w:r>
              <w:rPr>
                <w:rFonts w:ascii="宋体"/>
                <w:b/>
                <w:sz w:val="21"/>
              </w:rPr>
              <w:t>15131520559</w:t>
            </w:r>
            <w:bookmarkEnd w:id="15"/>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6" w:name="联系人传真"/>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2276" w:type="dxa"/>
          </w:tcPr>
          <w:p>
            <w:pPr>
              <w:rPr>
                <w:rFonts w:hint="eastAsia" w:ascii="宋体" w:hAnsi="宋体" w:eastAsia="宋体"/>
                <w:b/>
                <w:sz w:val="21"/>
                <w:szCs w:val="21"/>
                <w:lang w:eastAsia="zh-CN"/>
              </w:rPr>
            </w:pPr>
            <w:r>
              <w:rPr>
                <w:rFonts w:hint="eastAsia" w:ascii="宋体" w:hAnsi="宋体" w:eastAsia="宋体" w:cs="Times New Roman"/>
                <w:b/>
                <w:sz w:val="21"/>
                <w:szCs w:val="21"/>
                <w:lang w:val="en-US" w:eastAsia="zh-CN"/>
              </w:rPr>
              <w:t>任国峰</w:t>
            </w:r>
          </w:p>
        </w:tc>
        <w:tc>
          <w:tcPr>
            <w:tcW w:w="1037" w:type="dxa"/>
            <w:vAlign w:val="center"/>
          </w:tcPr>
          <w:p>
            <w:pPr>
              <w:jc w:val="center"/>
              <w:rPr>
                <w:rFonts w:ascii="宋体" w:hAnsi="宋体"/>
                <w:b/>
                <w:sz w:val="21"/>
                <w:szCs w:val="21"/>
              </w:rPr>
            </w:pPr>
            <w:r>
              <w:rPr>
                <w:rFonts w:hint="eastAsia" w:ascii="宋体" w:hAnsi="宋体"/>
                <w:b/>
                <w:sz w:val="21"/>
                <w:szCs w:val="21"/>
              </w:rPr>
              <w:t>总经理</w:t>
            </w:r>
          </w:p>
        </w:tc>
        <w:tc>
          <w:tcPr>
            <w:tcW w:w="1103" w:type="dxa"/>
            <w:gridSpan w:val="2"/>
          </w:tcPr>
          <w:p>
            <w:pPr>
              <w:rPr>
                <w:rFonts w:hint="eastAsia" w:ascii="宋体" w:hAnsi="宋体" w:eastAsia="宋体"/>
                <w:b/>
                <w:sz w:val="21"/>
                <w:szCs w:val="21"/>
                <w:lang w:eastAsia="zh-CN"/>
              </w:rPr>
            </w:pPr>
            <w:r>
              <w:rPr>
                <w:rFonts w:hint="eastAsia" w:ascii="宋体" w:hAnsi="宋体"/>
                <w:b/>
                <w:sz w:val="21"/>
                <w:szCs w:val="21"/>
                <w:lang w:eastAsia="zh-CN"/>
              </w:rPr>
              <w:t>杜红</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hint="eastAsia" w:ascii="宋体" w:eastAsia="宋体"/>
                <w:b/>
                <w:sz w:val="21"/>
                <w:lang w:eastAsia="zh-CN"/>
              </w:rPr>
            </w:pPr>
            <w:r>
              <w:rPr>
                <w:rFonts w:hint="eastAsia" w:ascii="宋体"/>
                <w:b/>
                <w:sz w:val="21"/>
                <w:lang w:eastAsia="zh-CN"/>
              </w:rPr>
              <w:t>杜红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3313" w:type="dxa"/>
            <w:gridSpan w:val="2"/>
            <w:vAlign w:val="center"/>
          </w:tcPr>
          <w:p>
            <w:pPr>
              <w:rPr>
                <w:rFonts w:ascii="宋体" w:hAnsi="宋体"/>
                <w:b/>
                <w:sz w:val="21"/>
                <w:szCs w:val="21"/>
              </w:rPr>
            </w:pPr>
            <w:bookmarkStart w:id="17" w:name="审核日期"/>
            <w:r>
              <w:rPr>
                <w:rFonts w:ascii="宋体" w:hAnsi="宋体"/>
                <w:b/>
                <w:sz w:val="21"/>
                <w:szCs w:val="21"/>
              </w:rPr>
              <w:t>2020年04月20日 上午至2020年04月21日 上午</w:t>
            </w:r>
            <w:bookmarkEnd w:id="17"/>
          </w:p>
        </w:tc>
        <w:tc>
          <w:tcPr>
            <w:tcW w:w="1094"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0" w:lineRule="atLeast"/>
              <w:jc w:val="left"/>
              <w:rPr>
                <w:rFonts w:hint="eastAsia" w:ascii="宋体" w:hAnsi="宋体"/>
              </w:rPr>
            </w:pPr>
            <w:bookmarkStart w:id="18" w:name="审核范围"/>
            <w:r>
              <w:rPr>
                <w:rFonts w:hint="eastAsia" w:ascii="宋体" w:hAnsi="宋体"/>
              </w:rPr>
              <w:t>Q：资质范围石墨烯纳米材料研发；纳米材料、锅炉及辅助设备、家用电热取暖器具销售服务</w:t>
            </w:r>
          </w:p>
          <w:p>
            <w:pPr>
              <w:spacing w:line="0" w:lineRule="atLeast"/>
              <w:jc w:val="left"/>
              <w:rPr>
                <w:rFonts w:hint="eastAsia" w:ascii="宋体" w:hAnsi="宋体"/>
              </w:rPr>
            </w:pPr>
            <w:r>
              <w:rPr>
                <w:rFonts w:hint="eastAsia" w:ascii="宋体" w:hAnsi="宋体"/>
              </w:rPr>
              <w:t>E：资质范围石墨烯纳米材料研发；纳米材料、锅炉及辅助设备、家用电热取暖器具销售服务及相关环境管理活动</w:t>
            </w:r>
          </w:p>
          <w:p>
            <w:pPr>
              <w:spacing w:line="360" w:lineRule="exact"/>
              <w:rPr>
                <w:rFonts w:ascii="宋体" w:hAnsi="宋体"/>
                <w:b/>
                <w:sz w:val="21"/>
                <w:szCs w:val="21"/>
              </w:rPr>
            </w:pPr>
            <w:r>
              <w:rPr>
                <w:rFonts w:hint="eastAsia" w:ascii="宋体" w:hAnsi="宋体"/>
              </w:rPr>
              <w:t>O：资质范围石墨烯纳米材料研发；纳米材料、锅炉及辅助设备、家用电热取暖器具销售服务及相关职业健康安全管理活动</w:t>
            </w:r>
            <w:bookmarkEnd w:id="18"/>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2276" w:type="dxa"/>
          </w:tcPr>
          <w:p>
            <w:pPr>
              <w:spacing w:line="260" w:lineRule="exact"/>
              <w:rPr>
                <w:rFonts w:ascii="宋体" w:hAnsi="宋体"/>
                <w:b/>
                <w:sz w:val="21"/>
                <w:szCs w:val="21"/>
              </w:rPr>
            </w:pPr>
            <w:bookmarkStart w:id="19" w:name="专业代码"/>
            <w:r>
              <w:rPr>
                <w:rFonts w:ascii="宋体" w:hAnsi="宋体"/>
                <w:b/>
                <w:sz w:val="21"/>
                <w:szCs w:val="21"/>
              </w:rPr>
              <w:t>Q：29.12.00;34.06.00</w:t>
            </w:r>
          </w:p>
          <w:p>
            <w:pPr>
              <w:spacing w:line="260" w:lineRule="exact"/>
              <w:rPr>
                <w:rFonts w:ascii="宋体" w:hAnsi="宋体"/>
                <w:b/>
                <w:sz w:val="21"/>
                <w:szCs w:val="21"/>
              </w:rPr>
            </w:pPr>
            <w:r>
              <w:rPr>
                <w:rFonts w:ascii="宋体" w:hAnsi="宋体"/>
                <w:b/>
                <w:sz w:val="21"/>
                <w:szCs w:val="21"/>
              </w:rPr>
              <w:t>E：29.12.00;34.06.00</w:t>
            </w:r>
          </w:p>
          <w:p>
            <w:pPr>
              <w:spacing w:line="260" w:lineRule="exact"/>
              <w:rPr>
                <w:rFonts w:ascii="宋体" w:hAnsi="宋体"/>
                <w:b/>
                <w:sz w:val="21"/>
                <w:szCs w:val="21"/>
              </w:rPr>
            </w:pPr>
            <w:r>
              <w:rPr>
                <w:rFonts w:ascii="宋体" w:hAnsi="宋体"/>
                <w:b/>
                <w:sz w:val="21"/>
                <w:szCs w:val="21"/>
              </w:rPr>
              <w:t>O：29.12.00;34.06.00</w:t>
            </w:r>
            <w:bookmarkEnd w:id="19"/>
          </w:p>
        </w:tc>
        <w:tc>
          <w:tcPr>
            <w:tcW w:w="1037"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103"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有效期限内</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2019年4月18日结束现场审核</w:t>
            </w:r>
          </w:p>
        </w:tc>
      </w:tr>
    </w:tbl>
    <w:p>
      <w:pPr>
        <w:tabs>
          <w:tab w:val="left" w:pos="645"/>
        </w:tabs>
        <w:spacing w:afterLines="50" w:line="360" w:lineRule="exact"/>
        <w:rPr>
          <w:b/>
          <w:spacing w:val="-6"/>
          <w:sz w:val="16"/>
          <w:szCs w:val="16"/>
        </w:rPr>
      </w:pPr>
      <w:r>
        <w:rPr>
          <w:rFonts w:hint="eastAsia"/>
          <w:b/>
          <w:sz w:val="26"/>
          <w:szCs w:val="26"/>
        </w:rPr>
        <w:t>五、审核活动安排综述</w:t>
      </w:r>
    </w:p>
    <w:p>
      <w:pPr>
        <w:spacing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Lines="50"/>
        <w:ind w:left="-194" w:leftChars="-81" w:firstLine="211" w:firstLineChars="100"/>
        <w:rPr>
          <w:rFonts w:hint="eastAsia" w:ascii="宋体" w:hAnsi="宋体" w:eastAsia="宋体"/>
          <w:b/>
          <w:sz w:val="21"/>
          <w:szCs w:val="21"/>
          <w:lang w:eastAsia="zh-CN"/>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r>
        <w:rPr>
          <w:rFonts w:hint="eastAsia" w:ascii="宋体" w:hAnsi="宋体"/>
          <w:b/>
          <w:sz w:val="21"/>
          <w:szCs w:val="21"/>
          <w:lang w:eastAsia="zh-CN"/>
        </w:rPr>
        <w:t>：无</w:t>
      </w:r>
    </w:p>
    <w:p>
      <w:pPr>
        <w:spacing w:beforeLines="50"/>
        <w:ind w:left="-194" w:leftChars="-81" w:firstLine="211" w:firstLineChars="100"/>
        <w:rPr>
          <w:rFonts w:ascii="宋体" w:hAnsi="宋体"/>
          <w:b/>
          <w:sz w:val="20"/>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rFonts w:hint="eastAsia" w:ascii="宋体" w:hAnsi="宋体" w:cs="Arial"/>
          <w:color w:val="000000"/>
          <w:kern w:val="0"/>
          <w:sz w:val="20"/>
        </w:rPr>
        <w:t>石墨烯纳米材料研发；纳米材料、锅炉及辅助设备、家用电热取暖器具销售服务</w:t>
      </w:r>
    </w:p>
    <w:p>
      <w:pPr>
        <w:spacing w:line="360" w:lineRule="atLeast"/>
        <w:ind w:firstLine="211" w:firstLineChars="100"/>
        <w:rPr>
          <w:rFonts w:hint="eastAsia" w:ascii="宋体" w:hAnsi="宋体" w:eastAsia="宋体"/>
          <w:b/>
          <w:sz w:val="21"/>
          <w:szCs w:val="21"/>
          <w:lang w:eastAsia="zh-CN"/>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r>
        <w:rPr>
          <w:rFonts w:hint="eastAsia" w:ascii="宋体" w:hAnsi="宋体"/>
          <w:b/>
          <w:sz w:val="21"/>
          <w:szCs w:val="21"/>
          <w:lang w:eastAsia="zh-CN"/>
        </w:rPr>
        <w:t>：无</w:t>
      </w:r>
    </w:p>
    <w:p>
      <w:pPr>
        <w:spacing w:line="360" w:lineRule="atLeast"/>
        <w:rPr>
          <w:rFonts w:hint="eastAsia" w:ascii="宋体" w:hAnsi="宋体" w:eastAsia="宋体"/>
          <w:b/>
          <w:color w:val="FF0000"/>
          <w:sz w:val="21"/>
          <w:szCs w:val="21"/>
          <w:lang w:eastAsia="zh-CN"/>
        </w:rPr>
      </w:pPr>
      <w:r>
        <w:rPr>
          <w:rFonts w:ascii="宋体" w:hAnsi="宋体"/>
          <w:b/>
          <w:sz w:val="21"/>
          <w:szCs w:val="21"/>
        </w:rPr>
        <w:t xml:space="preserve">4. </w:t>
      </w:r>
      <w:r>
        <w:rPr>
          <w:rFonts w:hint="eastAsia" w:ascii="宋体" w:hAnsi="宋体"/>
          <w:b/>
          <w:sz w:val="21"/>
          <w:szCs w:val="21"/>
        </w:rPr>
        <w:t>本次审核覆盖时间：从上次审核结束日的</w:t>
      </w:r>
      <w:r>
        <w:rPr>
          <w:sz w:val="21"/>
        </w:rPr>
        <w:t>2019</w:t>
      </w:r>
      <w:r>
        <w:rPr>
          <w:rFonts w:hint="eastAsia"/>
          <w:sz w:val="21"/>
        </w:rPr>
        <w:t>年4</w:t>
      </w:r>
      <w:r>
        <w:rPr>
          <w:rFonts w:hint="eastAsia"/>
          <w:color w:val="auto"/>
          <w:sz w:val="21"/>
        </w:rPr>
        <w:t>月</w:t>
      </w:r>
      <w:r>
        <w:rPr>
          <w:color w:val="auto"/>
          <w:sz w:val="21"/>
        </w:rPr>
        <w:t>1</w:t>
      </w:r>
      <w:r>
        <w:rPr>
          <w:rFonts w:hint="eastAsia"/>
          <w:color w:val="auto"/>
          <w:sz w:val="21"/>
        </w:rPr>
        <w:t>8日</w:t>
      </w:r>
      <w:r>
        <w:rPr>
          <w:rFonts w:hint="eastAsia" w:ascii="宋体" w:hAnsi="宋体"/>
          <w:b/>
          <w:color w:val="auto"/>
          <w:sz w:val="21"/>
          <w:szCs w:val="21"/>
        </w:rPr>
        <w:t>至2020年4月</w:t>
      </w:r>
      <w:r>
        <w:rPr>
          <w:rFonts w:hint="eastAsia" w:ascii="宋体" w:hAnsi="宋体"/>
          <w:b/>
          <w:color w:val="auto"/>
          <w:sz w:val="21"/>
          <w:szCs w:val="21"/>
          <w:lang w:val="en-US" w:eastAsia="zh-CN"/>
        </w:rPr>
        <w:t>21</w:t>
      </w:r>
      <w:r>
        <w:rPr>
          <w:rFonts w:hint="eastAsia" w:ascii="宋体" w:hAnsi="宋体"/>
          <w:b/>
          <w:color w:val="auto"/>
          <w:sz w:val="21"/>
          <w:szCs w:val="21"/>
        </w:rPr>
        <w:t>日</w:t>
      </w:r>
      <w:r>
        <w:rPr>
          <w:rFonts w:hint="eastAsia" w:ascii="宋体" w:hAnsi="宋体"/>
          <w:b/>
          <w:color w:val="auto"/>
          <w:sz w:val="21"/>
          <w:szCs w:val="21"/>
          <w:lang w:eastAsia="zh-CN"/>
        </w:rPr>
        <w:t>（受疫情影响）</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F0A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Lines="100"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10" w:hangingChars="100"/>
              <w:jc w:val="center"/>
              <w:rPr>
                <w:rFonts w:ascii="宋体"/>
                <w:b w:val="0"/>
                <w:bCs/>
                <w:sz w:val="21"/>
                <w:szCs w:val="21"/>
              </w:rPr>
            </w:pPr>
            <w:r>
              <w:rPr>
                <w:rFonts w:ascii="宋体" w:hAnsi="宋体"/>
                <w:b w:val="0"/>
                <w:bCs/>
                <w:sz w:val="21"/>
                <w:szCs w:val="21"/>
              </w:rPr>
              <w:t>(</w:t>
            </w:r>
            <w:r>
              <w:rPr>
                <w:rFonts w:hint="eastAsia" w:ascii="宋体" w:hAnsi="宋体"/>
                <w:b w:val="0"/>
                <w:bCs/>
                <w:sz w:val="21"/>
                <w:szCs w:val="21"/>
              </w:rPr>
              <w:t>一</w:t>
            </w:r>
            <w:r>
              <w:rPr>
                <w:rFonts w:ascii="宋体" w:hAnsi="宋体"/>
                <w:b w:val="0"/>
                <w:bCs/>
                <w:sz w:val="21"/>
                <w:szCs w:val="21"/>
              </w:rPr>
              <w:t>)</w:t>
            </w:r>
            <w:r>
              <w:rPr>
                <w:rFonts w:hint="eastAsia" w:ascii="宋体" w:hAnsi="宋体"/>
                <w:b w:val="0"/>
                <w:bCs/>
                <w:sz w:val="21"/>
                <w:szCs w:val="21"/>
              </w:rPr>
              <w:t>策划的充分与合理性</w:t>
            </w:r>
          </w:p>
        </w:tc>
        <w:tc>
          <w:tcPr>
            <w:tcW w:w="9198" w:type="dxa"/>
          </w:tcPr>
          <w:p>
            <w:pPr>
              <w:spacing w:line="240" w:lineRule="exact"/>
              <w:rPr>
                <w:rFonts w:hint="eastAsia" w:ascii="宋体" w:hAnsi="宋体"/>
                <w:b w:val="0"/>
                <w:bCs/>
                <w:sz w:val="21"/>
                <w:szCs w:val="21"/>
              </w:rPr>
            </w:pPr>
            <w:r>
              <w:rPr>
                <w:rFonts w:ascii="宋体" w:hAnsi="宋体"/>
                <w:b w:val="0"/>
                <w:bCs/>
                <w:sz w:val="21"/>
                <w:szCs w:val="21"/>
              </w:rPr>
              <w:t>1</w:t>
            </w:r>
            <w:r>
              <w:rPr>
                <w:rFonts w:hint="eastAsia" w:ascii="宋体" w:hAnsi="宋体"/>
                <w:b w:val="0"/>
                <w:bCs/>
                <w:sz w:val="21"/>
                <w:szCs w:val="21"/>
              </w:rPr>
              <w:t>、组织及其环境的识别情况</w:t>
            </w:r>
          </w:p>
          <w:p>
            <w:pPr>
              <w:spacing w:line="240" w:lineRule="exact"/>
              <w:ind w:firstLine="420" w:firstLineChars="200"/>
              <w:rPr>
                <w:b w:val="0"/>
                <w:bCs/>
                <w:sz w:val="21"/>
                <w:szCs w:val="21"/>
              </w:rPr>
            </w:pPr>
            <w:r>
              <w:rPr>
                <w:rFonts w:hint="eastAsia"/>
                <w:b w:val="0"/>
                <w:bCs/>
                <w:sz w:val="21"/>
                <w:szCs w:val="21"/>
              </w:rPr>
              <w:t>对国际、国内、地区和当地的各种法律法规、技术、竞争、市场、文化、社会和经济因素等进行了识别；编制了环境因素列表，具体如下：</w:t>
            </w:r>
          </w:p>
          <w:p>
            <w:pPr>
              <w:spacing w:line="240" w:lineRule="exact"/>
              <w:rPr>
                <w:b w:val="0"/>
                <w:bCs/>
                <w:sz w:val="21"/>
                <w:szCs w:val="21"/>
              </w:rPr>
            </w:pPr>
            <w:r>
              <w:rPr>
                <w:rFonts w:hint="eastAsia"/>
                <w:b w:val="0"/>
                <w:bCs/>
                <w:sz w:val="21"/>
                <w:szCs w:val="21"/>
              </w:rPr>
              <w:t>内部条件：公司的价值观、产品和服务、战略方向、文化与能力；</w:t>
            </w:r>
          </w:p>
          <w:p>
            <w:pPr>
              <w:spacing w:line="240" w:lineRule="exact"/>
              <w:rPr>
                <w:b w:val="0"/>
                <w:bCs/>
                <w:sz w:val="21"/>
                <w:szCs w:val="21"/>
              </w:rPr>
            </w:pPr>
            <w:r>
              <w:rPr>
                <w:rFonts w:hint="eastAsia"/>
                <w:b w:val="0"/>
                <w:bCs/>
                <w:sz w:val="21"/>
                <w:szCs w:val="21"/>
              </w:rPr>
              <w:t>外部环境环境：法律法规、社会文化、政治、技术、竞争力、水平气候、空气和水质量、资源的可获得性等相关因素；</w:t>
            </w:r>
          </w:p>
          <w:p>
            <w:pPr>
              <w:spacing w:line="240" w:lineRule="exact"/>
              <w:ind w:firstLine="420" w:firstLineChars="200"/>
              <w:rPr>
                <w:b w:val="0"/>
                <w:bCs/>
                <w:sz w:val="21"/>
                <w:szCs w:val="21"/>
              </w:rPr>
            </w:pPr>
            <w:r>
              <w:rPr>
                <w:rFonts w:hint="eastAsia"/>
                <w:b w:val="0"/>
                <w:bCs/>
                <w:sz w:val="21"/>
                <w:szCs w:val="21"/>
              </w:rPr>
              <w:t>对这些内外部因素进行了SWOT分析并制定了应对措施和监视方法（一年一次）</w:t>
            </w:r>
          </w:p>
          <w:p>
            <w:pPr>
              <w:spacing w:line="240" w:lineRule="exact"/>
              <w:rPr>
                <w:rFonts w:ascii="宋体" w:hAnsi="宋体"/>
                <w:b w:val="0"/>
                <w:bCs/>
                <w:sz w:val="21"/>
                <w:szCs w:val="21"/>
              </w:rPr>
            </w:pPr>
            <w:r>
              <w:rPr>
                <w:rFonts w:hint="eastAsia"/>
                <w:b w:val="0"/>
                <w:bCs/>
                <w:sz w:val="21"/>
                <w:szCs w:val="21"/>
              </w:rPr>
              <w:t>通过定期的网站获取、顾客沟通、及定期内部总结等方式进行监视和评审。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10" w:hangingChars="100"/>
              <w:jc w:val="center"/>
              <w:rPr>
                <w:rFonts w:ascii="宋体"/>
                <w:b w:val="0"/>
                <w:bCs/>
                <w:sz w:val="21"/>
                <w:szCs w:val="21"/>
              </w:rPr>
            </w:pPr>
          </w:p>
        </w:tc>
        <w:tc>
          <w:tcPr>
            <w:tcW w:w="9198" w:type="dxa"/>
          </w:tcPr>
          <w:p>
            <w:pPr>
              <w:spacing w:line="240" w:lineRule="exact"/>
              <w:rPr>
                <w:rFonts w:hint="eastAsia" w:ascii="宋体" w:hAnsi="宋体"/>
                <w:b w:val="0"/>
                <w:bCs/>
                <w:sz w:val="21"/>
                <w:szCs w:val="21"/>
              </w:rPr>
            </w:pPr>
            <w:r>
              <w:rPr>
                <w:rFonts w:ascii="宋体" w:hAnsi="宋体"/>
                <w:b w:val="0"/>
                <w:bCs/>
                <w:sz w:val="21"/>
                <w:szCs w:val="21"/>
              </w:rPr>
              <w:t>2</w:t>
            </w:r>
            <w:r>
              <w:rPr>
                <w:rFonts w:hint="eastAsia" w:ascii="宋体" w:hAnsi="宋体"/>
                <w:b w:val="0"/>
                <w:bCs/>
                <w:sz w:val="21"/>
                <w:szCs w:val="21"/>
              </w:rPr>
              <w:t>、相关方需求和期望识别情况</w:t>
            </w:r>
          </w:p>
          <w:p>
            <w:pPr>
              <w:spacing w:line="240" w:lineRule="exact"/>
              <w:rPr>
                <w:b w:val="0"/>
                <w:bCs/>
                <w:sz w:val="21"/>
                <w:szCs w:val="21"/>
              </w:rPr>
            </w:pPr>
            <w:r>
              <w:rPr>
                <w:rFonts w:hint="eastAsia"/>
                <w:b w:val="0"/>
                <w:bCs/>
                <w:sz w:val="21"/>
                <w:szCs w:val="21"/>
              </w:rPr>
              <w:t>公司确定了与质量管理体系有关的相关方包括顾客、政府机构、社区、供应商、内部员工等。</w:t>
            </w:r>
          </w:p>
          <w:p>
            <w:pPr>
              <w:spacing w:line="240" w:lineRule="exact"/>
              <w:ind w:firstLine="420" w:firstLineChars="200"/>
              <w:rPr>
                <w:b w:val="0"/>
                <w:bCs/>
                <w:sz w:val="21"/>
                <w:szCs w:val="21"/>
              </w:rPr>
            </w:pPr>
            <w:r>
              <w:rPr>
                <w:rFonts w:hint="eastAsia"/>
                <w:b w:val="0"/>
                <w:bCs/>
                <w:sz w:val="21"/>
                <w:szCs w:val="21"/>
              </w:rPr>
              <w:t>相关方对企业的要求有：遵守国家的现行法律法规、保持有效的资质、研发的产品优良先进、量具定期检定、不断提高技术水平以及不断提高客户满意度等。</w:t>
            </w:r>
          </w:p>
          <w:p>
            <w:pPr>
              <w:spacing w:line="240" w:lineRule="exact"/>
              <w:ind w:firstLine="420" w:firstLineChars="200"/>
              <w:rPr>
                <w:rFonts w:hint="eastAsia"/>
                <w:b w:val="0"/>
                <w:bCs/>
                <w:sz w:val="21"/>
                <w:szCs w:val="21"/>
              </w:rPr>
            </w:pPr>
            <w:r>
              <w:rPr>
                <w:rFonts w:hint="eastAsia"/>
                <w:b w:val="0"/>
                <w:bCs/>
                <w:sz w:val="21"/>
                <w:szCs w:val="21"/>
              </w:rPr>
              <w:t>公司通过关注顾客需求，通过持续改进增强用户满意；遵守国家和地方各项法律法规，履行合规义务；</w:t>
            </w:r>
          </w:p>
          <w:p>
            <w:pPr>
              <w:spacing w:line="240" w:lineRule="exact"/>
              <w:ind w:firstLine="420" w:firstLineChars="200"/>
              <w:rPr>
                <w:rFonts w:ascii="宋体" w:hAnsi="宋体"/>
                <w:b w:val="0"/>
                <w:bCs/>
                <w:sz w:val="21"/>
                <w:szCs w:val="21"/>
              </w:rPr>
            </w:pPr>
            <w:r>
              <w:rPr>
                <w:rFonts w:hint="eastAsia"/>
                <w:b w:val="0"/>
                <w:bCs/>
                <w:sz w:val="21"/>
                <w:szCs w:val="21"/>
              </w:rPr>
              <w:t>以下行为满足相关方需求和期望：持续改进管理体系过程，提升质量绩效等，公司管理层及相关部门将持续关注相关方需求的变化，必要时通过评估风险和机遇，调整管理体系目标和指标或变更管理过程以适应这些变化或实现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10" w:hangingChars="100"/>
              <w:jc w:val="center"/>
              <w:rPr>
                <w:rFonts w:ascii="宋体"/>
                <w:b w:val="0"/>
                <w:bCs/>
                <w:sz w:val="21"/>
                <w:szCs w:val="21"/>
              </w:rPr>
            </w:pPr>
          </w:p>
        </w:tc>
        <w:tc>
          <w:tcPr>
            <w:tcW w:w="9198" w:type="dxa"/>
          </w:tcPr>
          <w:p>
            <w:pPr>
              <w:spacing w:line="280" w:lineRule="exact"/>
              <w:rPr>
                <w:rFonts w:ascii="宋体" w:hAnsi="宋体"/>
                <w:b w:val="0"/>
                <w:bCs/>
                <w:sz w:val="21"/>
                <w:szCs w:val="21"/>
              </w:rPr>
            </w:pPr>
            <w:r>
              <w:rPr>
                <w:rFonts w:ascii="宋体" w:hAnsi="宋体"/>
                <w:b w:val="0"/>
                <w:bCs/>
                <w:sz w:val="21"/>
                <w:szCs w:val="21"/>
              </w:rPr>
              <w:t>3.</w:t>
            </w:r>
            <w:r>
              <w:rPr>
                <w:rFonts w:hint="eastAsia" w:ascii="宋体" w:hAnsi="宋体"/>
                <w:b w:val="0"/>
                <w:bCs/>
                <w:sz w:val="21"/>
                <w:szCs w:val="21"/>
              </w:rPr>
              <w:sym w:font="Wingdings 2" w:char="F0A2"/>
            </w:r>
            <w:r>
              <w:rPr>
                <w:rFonts w:hint="eastAsia" w:ascii="宋体" w:hAnsi="宋体"/>
                <w:b w:val="0"/>
                <w:bCs/>
                <w:sz w:val="21"/>
                <w:szCs w:val="21"/>
              </w:rPr>
              <w:t>质量</w:t>
            </w:r>
            <w:r>
              <w:rPr>
                <w:rFonts w:ascii="宋体" w:hAnsi="宋体"/>
                <w:b w:val="0"/>
                <w:bCs/>
                <w:sz w:val="21"/>
                <w:szCs w:val="21"/>
              </w:rPr>
              <w:t>/</w:t>
            </w:r>
            <w:r>
              <w:rPr>
                <w:rFonts w:hint="eastAsia" w:ascii="宋体" w:hAnsi="宋体"/>
                <w:b w:val="0"/>
                <w:bCs/>
                <w:sz w:val="21"/>
                <w:szCs w:val="21"/>
              </w:rPr>
              <w:sym w:font="Wingdings 2" w:char="F0A2"/>
            </w:r>
            <w:r>
              <w:rPr>
                <w:rFonts w:hint="eastAsia" w:ascii="宋体" w:hAnsi="宋体"/>
                <w:b w:val="0"/>
                <w:bCs/>
                <w:sz w:val="21"/>
                <w:szCs w:val="21"/>
              </w:rPr>
              <w:t>环境</w:t>
            </w:r>
            <w:r>
              <w:rPr>
                <w:rFonts w:ascii="宋体" w:hAnsi="宋体"/>
                <w:b w:val="0"/>
                <w:bCs/>
                <w:sz w:val="21"/>
                <w:szCs w:val="21"/>
              </w:rPr>
              <w:t>/</w:t>
            </w:r>
            <w:r>
              <w:rPr>
                <w:rFonts w:hint="eastAsia" w:ascii="宋体" w:hAnsi="宋体"/>
                <w:b w:val="0"/>
                <w:bCs/>
                <w:sz w:val="21"/>
                <w:szCs w:val="21"/>
              </w:rPr>
              <w:sym w:font="Wingdings 2" w:char="F0A2"/>
            </w:r>
            <w:r>
              <w:rPr>
                <w:rFonts w:hint="eastAsia" w:ascii="宋体" w:hAnsi="宋体"/>
                <w:b w:val="0"/>
                <w:bCs/>
                <w:sz w:val="21"/>
                <w:szCs w:val="21"/>
              </w:rPr>
              <w:t>职业健康安全方针（组织方针的适宜性</w:t>
            </w:r>
            <w:r>
              <w:rPr>
                <w:rFonts w:ascii="宋体" w:hAnsi="宋体"/>
                <w:b w:val="0"/>
                <w:bCs/>
                <w:sz w:val="21"/>
                <w:szCs w:val="21"/>
              </w:rPr>
              <w:t>/</w:t>
            </w:r>
            <w:r>
              <w:rPr>
                <w:rFonts w:hint="eastAsia" w:ascii="宋体" w:hAnsi="宋体"/>
                <w:b w:val="0"/>
                <w:bCs/>
                <w:sz w:val="21"/>
                <w:szCs w:val="21"/>
              </w:rPr>
              <w:t>持续适宜性、方针的传达及职工的理解等）</w:t>
            </w:r>
          </w:p>
          <w:p>
            <w:pPr>
              <w:ind w:firstLine="2835" w:firstLineChars="1350"/>
              <w:rPr>
                <w:b w:val="0"/>
                <w:bCs/>
                <w:sz w:val="21"/>
                <w:szCs w:val="21"/>
              </w:rPr>
            </w:pPr>
            <w:r>
              <w:rPr>
                <w:rFonts w:hint="eastAsia"/>
                <w:b w:val="0"/>
                <w:bCs/>
                <w:sz w:val="21"/>
                <w:szCs w:val="21"/>
              </w:rPr>
              <w:t>诚信务实服务，提高顾客满意；</w:t>
            </w:r>
          </w:p>
          <w:p>
            <w:pPr>
              <w:ind w:firstLine="2835" w:firstLineChars="1350"/>
              <w:rPr>
                <w:b w:val="0"/>
                <w:bCs/>
                <w:sz w:val="21"/>
                <w:szCs w:val="21"/>
              </w:rPr>
            </w:pPr>
            <w:r>
              <w:rPr>
                <w:rFonts w:hint="eastAsia"/>
                <w:b w:val="0"/>
                <w:bCs/>
                <w:sz w:val="21"/>
                <w:szCs w:val="21"/>
              </w:rPr>
              <w:t>遵守法律法规，提高环保意识；</w:t>
            </w:r>
          </w:p>
          <w:p>
            <w:pPr>
              <w:ind w:firstLine="2835" w:firstLineChars="1350"/>
              <w:rPr>
                <w:b w:val="0"/>
                <w:bCs/>
                <w:sz w:val="21"/>
                <w:szCs w:val="21"/>
              </w:rPr>
            </w:pPr>
            <w:r>
              <w:rPr>
                <w:rFonts w:hint="eastAsia"/>
                <w:b w:val="0"/>
                <w:bCs/>
                <w:sz w:val="21"/>
                <w:szCs w:val="21"/>
              </w:rPr>
              <w:t>关爱员工健康，安全预防为主；</w:t>
            </w:r>
          </w:p>
          <w:p>
            <w:pPr>
              <w:ind w:firstLine="2835" w:firstLineChars="1350"/>
              <w:rPr>
                <w:b w:val="0"/>
                <w:bCs/>
                <w:sz w:val="21"/>
                <w:szCs w:val="21"/>
              </w:rPr>
            </w:pPr>
            <w:r>
              <w:rPr>
                <w:rFonts w:hint="eastAsia"/>
                <w:b w:val="0"/>
                <w:bCs/>
                <w:sz w:val="21"/>
                <w:szCs w:val="21"/>
              </w:rPr>
              <w:t>不断持续改进，永远追求卓越。</w:t>
            </w:r>
          </w:p>
          <w:p>
            <w:pPr>
              <w:rPr>
                <w:rFonts w:ascii="宋体" w:hAnsi="宋体"/>
                <w:b w:val="0"/>
                <w:bCs/>
                <w:sz w:val="21"/>
                <w:szCs w:val="21"/>
              </w:rPr>
            </w:pPr>
            <w:r>
              <w:rPr>
                <w:rFonts w:hint="eastAsia" w:ascii="宋体" w:hAnsi="宋体"/>
                <w:b w:val="0"/>
                <w:bCs/>
                <w:sz w:val="21"/>
                <w:szCs w:val="21"/>
              </w:rPr>
              <w:sym w:font="Wingdings 2" w:char="F098"/>
            </w:r>
            <w:r>
              <w:rPr>
                <w:rFonts w:hint="eastAsia" w:ascii="宋体" w:hAnsi="宋体"/>
                <w:b w:val="0"/>
                <w:bCs/>
                <w:sz w:val="21"/>
                <w:szCs w:val="21"/>
              </w:rPr>
              <w:t>方针在管理手册中予以规定，经总经理批准实施。</w:t>
            </w:r>
          </w:p>
          <w:p>
            <w:pPr>
              <w:spacing w:line="280" w:lineRule="exact"/>
              <w:rPr>
                <w:rFonts w:ascii="宋体" w:hAnsi="宋体"/>
                <w:b w:val="0"/>
                <w:bCs/>
                <w:sz w:val="21"/>
                <w:szCs w:val="21"/>
              </w:rPr>
            </w:pPr>
            <w:r>
              <w:rPr>
                <w:rFonts w:hint="eastAsia" w:ascii="宋体" w:hAnsi="宋体"/>
                <w:b w:val="0"/>
                <w:bCs/>
                <w:sz w:val="21"/>
                <w:szCs w:val="21"/>
              </w:rPr>
              <w:sym w:font="Wingdings 2" w:char="F098"/>
            </w:r>
            <w:r>
              <w:rPr>
                <w:rFonts w:hint="eastAsia" w:ascii="宋体" w:hAnsi="宋体"/>
                <w:b w:val="0"/>
                <w:bCs/>
                <w:sz w:val="21"/>
                <w:szCs w:val="21"/>
              </w:rPr>
              <w:t>管理方针体现了标准的要求，包括：公司的宗旨和环境并支持其战略方向，为目标制定了框架，满足适用要求的承诺，持续改进质量管理体系的承诺，通过会议、文件、网络宣传等形式进行贯彻，可为相关方获取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10" w:hangingChars="100"/>
              <w:jc w:val="center"/>
              <w:rPr>
                <w:rFonts w:ascii="宋体"/>
                <w:b w:val="0"/>
                <w:bCs/>
                <w:sz w:val="21"/>
                <w:szCs w:val="21"/>
              </w:rPr>
            </w:pPr>
          </w:p>
        </w:tc>
        <w:tc>
          <w:tcPr>
            <w:tcW w:w="9198" w:type="dxa"/>
          </w:tcPr>
          <w:p>
            <w:pPr>
              <w:spacing w:line="280" w:lineRule="exact"/>
              <w:rPr>
                <w:rFonts w:hint="eastAsia" w:ascii="宋体" w:hAnsi="宋体"/>
                <w:b w:val="0"/>
                <w:bCs/>
                <w:sz w:val="21"/>
                <w:szCs w:val="21"/>
              </w:rPr>
            </w:pPr>
            <w:r>
              <w:rPr>
                <w:rFonts w:ascii="宋体" w:hAnsi="宋体"/>
                <w:b w:val="0"/>
                <w:bCs/>
                <w:sz w:val="21"/>
                <w:szCs w:val="21"/>
              </w:rPr>
              <w:t>4</w:t>
            </w:r>
            <w:r>
              <w:rPr>
                <w:rFonts w:hint="eastAsia" w:ascii="宋体" w:hAnsi="宋体"/>
                <w:b w:val="0"/>
                <w:bCs/>
                <w:sz w:val="21"/>
                <w:szCs w:val="21"/>
              </w:rPr>
              <w:t>、风险识别与控制策划</w:t>
            </w:r>
          </w:p>
          <w:p>
            <w:pPr>
              <w:spacing w:line="280" w:lineRule="exact"/>
              <w:rPr>
                <w:rFonts w:ascii="宋体" w:hAnsi="宋体"/>
                <w:b w:val="0"/>
                <w:bCs/>
                <w:sz w:val="21"/>
                <w:szCs w:val="21"/>
              </w:rPr>
            </w:pPr>
            <w:r>
              <w:rPr>
                <w:rFonts w:hint="eastAsia"/>
                <w:b w:val="0"/>
                <w:bCs/>
                <w:sz w:val="21"/>
                <w:szCs w:val="21"/>
              </w:rPr>
              <w:t>公司编制《</w:t>
            </w:r>
            <w:r>
              <w:rPr>
                <w:rFonts w:ascii="宋体" w:hAnsi="宋体"/>
                <w:b w:val="0"/>
                <w:bCs/>
                <w:kern w:val="0"/>
                <w:sz w:val="21"/>
                <w:szCs w:val="21"/>
              </w:rPr>
              <w:t>应对风险和机遇的措施表</w:t>
            </w:r>
            <w:r>
              <w:rPr>
                <w:rFonts w:hint="eastAsia"/>
                <w:b w:val="0"/>
                <w:bCs/>
                <w:sz w:val="21"/>
                <w:szCs w:val="21"/>
              </w:rPr>
              <w:t>》，公司分别从顾客过程、公司内部、外部供方等方面识别了必要的风险和机遇，如：方针和目标变更的需求，产品标准变更，原材料变更，工艺变更、法律法规变更、外部环境（包括空气 水的变化）等风险，制定了相应的应对措施，制定了负责的部门和具体的实施方案，需要的资金和日程安排等，如针对顾客需求的变更，由综合部紧密与客户沟通，识别是否有更新的需求。经查暂无变更需求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val="0"/>
                <w:bCs/>
                <w:sz w:val="21"/>
                <w:szCs w:val="21"/>
              </w:rPr>
            </w:pPr>
          </w:p>
        </w:tc>
        <w:tc>
          <w:tcPr>
            <w:tcW w:w="9198" w:type="dxa"/>
          </w:tcPr>
          <w:p>
            <w:pPr>
              <w:spacing w:line="300" w:lineRule="exact"/>
              <w:rPr>
                <w:rFonts w:ascii="宋体" w:hAnsi="宋体"/>
                <w:b w:val="0"/>
                <w:bCs/>
                <w:sz w:val="21"/>
                <w:szCs w:val="21"/>
              </w:rPr>
            </w:pPr>
            <w:r>
              <w:rPr>
                <w:rFonts w:ascii="宋体" w:hAnsi="宋体"/>
                <w:b w:val="0"/>
                <w:bCs/>
                <w:sz w:val="21"/>
                <w:szCs w:val="21"/>
              </w:rPr>
              <w:t>5.QMS</w:t>
            </w:r>
            <w:r>
              <w:rPr>
                <w:rFonts w:hint="eastAsia" w:ascii="宋体" w:hAnsi="宋体"/>
                <w:b w:val="0"/>
                <w:bCs/>
                <w:sz w:val="21"/>
                <w:szCs w:val="21"/>
              </w:rPr>
              <w:t>过程</w:t>
            </w:r>
          </w:p>
          <w:p>
            <w:pPr>
              <w:tabs>
                <w:tab w:val="left" w:pos="540"/>
              </w:tabs>
              <w:spacing w:line="360" w:lineRule="exact"/>
              <w:ind w:left="211" w:hanging="210" w:hangingChars="100"/>
              <w:rPr>
                <w:rFonts w:ascii="宋体" w:hAnsi="宋体"/>
                <w:b w:val="0"/>
                <w:bCs/>
                <w:color w:val="000000" w:themeColor="text1"/>
                <w:sz w:val="21"/>
                <w:szCs w:val="21"/>
                <w:u w:val="single"/>
              </w:rPr>
            </w:pPr>
            <w:r>
              <w:rPr>
                <w:rFonts w:hint="eastAsia" w:ascii="宋体" w:hAnsi="宋体"/>
                <w:b w:val="0"/>
                <w:bCs/>
                <w:sz w:val="21"/>
                <w:szCs w:val="21"/>
              </w:rPr>
              <w:t>质量管理体系过程有：</w:t>
            </w:r>
            <w:r>
              <w:rPr>
                <w:rFonts w:hint="eastAsia" w:ascii="宋体" w:hAnsi="宋体" w:cs="Arial"/>
                <w:b w:val="0"/>
                <w:bCs/>
                <w:color w:val="000000"/>
                <w:kern w:val="0"/>
                <w:sz w:val="21"/>
                <w:szCs w:val="21"/>
              </w:rPr>
              <w:t>石墨烯纳米材料研发；纳米材料、锅炉及辅助设备、家用电热取暖器具销售服务</w:t>
            </w:r>
            <w:r>
              <w:rPr>
                <w:rFonts w:ascii="宋体" w:hAnsi="宋体"/>
                <w:b w:val="0"/>
                <w:bCs/>
                <w:color w:val="000000" w:themeColor="text1"/>
                <w:sz w:val="21"/>
                <w:szCs w:val="21"/>
              </w:rPr>
              <w:t>；</w:t>
            </w:r>
            <w:r>
              <w:rPr>
                <w:rFonts w:hint="eastAsia" w:ascii="宋体" w:hAnsi="宋体"/>
                <w:b w:val="0"/>
                <w:bCs/>
                <w:sz w:val="21"/>
                <w:szCs w:val="21"/>
              </w:rPr>
              <w:t>产品和服务的放行；</w:t>
            </w:r>
            <w:r>
              <w:rPr>
                <w:rFonts w:hint="eastAsia" w:ascii="宋体" w:hAnsi="宋体" w:cs="宋体"/>
                <w:b w:val="0"/>
                <w:bCs/>
                <w:kern w:val="0"/>
                <w:sz w:val="21"/>
                <w:szCs w:val="21"/>
              </w:rPr>
              <w:t>外部提供产品、服务和过程等。</w:t>
            </w:r>
          </w:p>
          <w:p>
            <w:pPr>
              <w:tabs>
                <w:tab w:val="left" w:pos="540"/>
              </w:tabs>
              <w:spacing w:line="300" w:lineRule="exact"/>
              <w:ind w:left="211" w:hanging="210" w:hangingChars="100"/>
              <w:rPr>
                <w:rFonts w:hint="eastAsia" w:ascii="宋体" w:hAnsi="宋体" w:eastAsia="宋体"/>
                <w:b w:val="0"/>
                <w:bCs/>
                <w:sz w:val="21"/>
                <w:szCs w:val="21"/>
                <w:lang w:eastAsia="zh-CN"/>
              </w:rPr>
            </w:pPr>
            <w:r>
              <w:rPr>
                <w:rFonts w:hint="eastAsia" w:ascii="宋体" w:hAnsi="宋体"/>
                <w:b w:val="0"/>
                <w:bCs/>
                <w:sz w:val="21"/>
                <w:szCs w:val="21"/>
              </w:rPr>
              <w:t>关键过程：</w:t>
            </w:r>
            <w:r>
              <w:rPr>
                <w:rFonts w:hint="eastAsia" w:ascii="宋体" w:hAnsi="宋体" w:cs="Arial"/>
                <w:b w:val="0"/>
                <w:bCs/>
                <w:color w:val="000000"/>
                <w:kern w:val="0"/>
                <w:sz w:val="21"/>
                <w:szCs w:val="21"/>
                <w:lang w:eastAsia="zh-CN"/>
              </w:rPr>
              <w:t>设计、销售服务</w:t>
            </w:r>
          </w:p>
          <w:p>
            <w:pPr>
              <w:tabs>
                <w:tab w:val="left" w:pos="540"/>
              </w:tabs>
              <w:spacing w:line="300" w:lineRule="exact"/>
              <w:ind w:left="211" w:hanging="210" w:hangingChars="100"/>
              <w:rPr>
                <w:rFonts w:ascii="宋体" w:hAnsi="宋体"/>
                <w:b w:val="0"/>
                <w:bCs/>
                <w:sz w:val="21"/>
                <w:szCs w:val="21"/>
              </w:rPr>
            </w:pPr>
            <w:r>
              <w:rPr>
                <w:rFonts w:hint="eastAsia" w:ascii="宋体" w:hAnsi="宋体"/>
                <w:b w:val="0"/>
                <w:bCs/>
                <w:sz w:val="21"/>
                <w:szCs w:val="21"/>
              </w:rPr>
              <w:t>需要确认过程：</w:t>
            </w:r>
            <w:r>
              <w:rPr>
                <w:rFonts w:hint="eastAsia" w:ascii="宋体" w:hAnsi="宋体" w:cs="Arial"/>
                <w:b w:val="0"/>
                <w:bCs/>
                <w:color w:val="000000"/>
                <w:kern w:val="0"/>
                <w:sz w:val="21"/>
                <w:szCs w:val="21"/>
                <w:lang w:eastAsia="zh-CN"/>
              </w:rPr>
              <w:t>销售服务</w:t>
            </w:r>
          </w:p>
          <w:p>
            <w:pPr>
              <w:tabs>
                <w:tab w:val="left" w:pos="540"/>
              </w:tabs>
              <w:spacing w:line="300" w:lineRule="exact"/>
              <w:ind w:left="211" w:hanging="210" w:hangingChars="100"/>
              <w:rPr>
                <w:rFonts w:ascii="宋体" w:hAnsi="宋体"/>
                <w:b w:val="0"/>
                <w:bCs/>
                <w:sz w:val="21"/>
                <w:szCs w:val="21"/>
              </w:rPr>
            </w:pPr>
            <w:r>
              <w:rPr>
                <w:rFonts w:ascii="宋体" w:hAnsi="宋体"/>
                <w:b w:val="0"/>
                <w:bCs/>
                <w:sz w:val="21"/>
                <w:szCs w:val="21"/>
              </w:rPr>
              <w:pict>
                <v:shape id="_x0000_s1027" o:spid="_x0000_s1027" o:spt="32" type="#_x0000_t32" style="position:absolute;left:0pt;margin-left:55.15pt;margin-top:12.75pt;height:0pt;width:42pt;z-index:251658240;mso-width-relative:page;mso-height-relative:page;" o:connectortype="straight" filled="f" coordsize="21600,21600">
                  <v:path arrowok="t"/>
                  <v:fill on="f" focussize="0,0"/>
                  <v:stroke/>
                  <v:imagedata o:title=""/>
                  <o:lock v:ext="edit"/>
                </v:shape>
              </w:pict>
            </w:r>
            <w:r>
              <w:rPr>
                <w:rFonts w:hint="eastAsia" w:ascii="宋体" w:hAnsi="宋体"/>
                <w:b w:val="0"/>
                <w:bCs/>
                <w:sz w:val="21"/>
                <w:szCs w:val="21"/>
              </w:rPr>
              <w:t xml:space="preserve">删减条款是，无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0" w:hRule="atLeast"/>
          <w:jc w:val="center"/>
        </w:trPr>
        <w:tc>
          <w:tcPr>
            <w:tcW w:w="720" w:type="dxa"/>
            <w:vMerge w:val="continue"/>
            <w:vAlign w:val="center"/>
          </w:tcPr>
          <w:p>
            <w:pPr>
              <w:spacing w:line="240" w:lineRule="exact"/>
              <w:jc w:val="center"/>
              <w:rPr>
                <w:b w:val="0"/>
                <w:bCs/>
                <w:sz w:val="21"/>
                <w:szCs w:val="21"/>
              </w:rPr>
            </w:pPr>
          </w:p>
        </w:tc>
        <w:tc>
          <w:tcPr>
            <w:tcW w:w="9198" w:type="dxa"/>
          </w:tcPr>
          <w:p>
            <w:pPr>
              <w:numPr>
                <w:ilvl w:val="0"/>
                <w:numId w:val="1"/>
              </w:numPr>
              <w:spacing w:line="240" w:lineRule="exact"/>
              <w:rPr>
                <w:rFonts w:hint="eastAsia" w:ascii="宋体" w:hAnsi="宋体"/>
                <w:b w:val="0"/>
                <w:bCs/>
                <w:color w:val="auto"/>
                <w:sz w:val="21"/>
                <w:szCs w:val="21"/>
              </w:rPr>
            </w:pPr>
            <w:r>
              <w:rPr>
                <w:rFonts w:ascii="宋体" w:hAnsi="宋体"/>
                <w:b w:val="0"/>
                <w:bCs/>
                <w:color w:val="auto"/>
                <w:sz w:val="21"/>
                <w:szCs w:val="21"/>
              </w:rPr>
              <w:t>EMS</w:t>
            </w:r>
            <w:r>
              <w:rPr>
                <w:rFonts w:hint="eastAsia" w:ascii="宋体" w:hAnsi="宋体"/>
                <w:b w:val="0"/>
                <w:bCs/>
                <w:color w:val="auto"/>
                <w:sz w:val="21"/>
                <w:szCs w:val="21"/>
              </w:rPr>
              <w:t>环境因素</w:t>
            </w:r>
          </w:p>
          <w:p>
            <w:pPr>
              <w:spacing w:line="240" w:lineRule="exact"/>
              <w:rPr>
                <w:rFonts w:hint="eastAsia" w:ascii="宋体" w:hAnsi="宋体"/>
                <w:b w:val="0"/>
                <w:bCs/>
                <w:color w:val="auto"/>
                <w:sz w:val="21"/>
                <w:szCs w:val="21"/>
              </w:rPr>
            </w:pPr>
            <w:r>
              <w:rPr>
                <w:rFonts w:ascii="宋体" w:hAnsi="宋体"/>
                <w:b w:val="0"/>
                <w:bCs/>
                <w:color w:val="auto"/>
                <w:sz w:val="21"/>
                <w:szCs w:val="21"/>
              </w:rPr>
              <w:t>7. OHSMS</w:t>
            </w:r>
            <w:r>
              <w:rPr>
                <w:rFonts w:hint="eastAsia" w:ascii="宋体" w:hAnsi="宋体"/>
                <w:b w:val="0"/>
                <w:bCs/>
                <w:color w:val="auto"/>
                <w:sz w:val="21"/>
                <w:szCs w:val="21"/>
              </w:rPr>
              <w:t>职业健康安全危险源</w:t>
            </w:r>
          </w:p>
          <w:p>
            <w:pPr>
              <w:spacing w:line="360" w:lineRule="auto"/>
              <w:ind w:firstLine="420" w:firstLineChars="200"/>
              <w:jc w:val="both"/>
              <w:rPr>
                <w:rFonts w:hint="eastAsia"/>
                <w:color w:val="auto"/>
                <w:sz w:val="21"/>
                <w:szCs w:val="21"/>
              </w:rPr>
            </w:pPr>
            <w:r>
              <w:rPr>
                <w:rFonts w:hint="eastAsia"/>
                <w:color w:val="auto"/>
                <w:sz w:val="21"/>
                <w:szCs w:val="21"/>
              </w:rPr>
              <w:t>提供了</w:t>
            </w:r>
            <w:r>
              <w:rPr>
                <w:rFonts w:hint="eastAsia"/>
                <w:color w:val="auto"/>
                <w:sz w:val="21"/>
                <w:szCs w:val="21"/>
                <w:lang w:eastAsia="zh-CN"/>
              </w:rPr>
              <w:t>环境因素和</w:t>
            </w:r>
            <w:r>
              <w:rPr>
                <w:rFonts w:hint="eastAsia"/>
                <w:color w:val="auto"/>
                <w:sz w:val="21"/>
                <w:szCs w:val="21"/>
              </w:rPr>
              <w:t>职业安全健康管理体系危险源辨识、风险评价、风险控制一览表，内容有：活动场所、危险类别、危害类别、危险发生的可能性L、损失后果C、频繁程度E、控制措施等。识别出项目部危险源有：</w:t>
            </w:r>
            <w:r>
              <w:rPr>
                <w:rFonts w:hint="eastAsia"/>
                <w:color w:val="auto"/>
                <w:sz w:val="21"/>
                <w:szCs w:val="21"/>
                <w:lang w:eastAsia="zh-CN"/>
              </w:rPr>
              <w:t>触电、火灾、意外伤害</w:t>
            </w:r>
            <w:r>
              <w:rPr>
                <w:rFonts w:hint="eastAsia"/>
                <w:color w:val="auto"/>
                <w:sz w:val="21"/>
                <w:szCs w:val="21"/>
              </w:rPr>
              <w:t>等。优先控制风险采用“LEC”方法进行评价。提供</w:t>
            </w:r>
            <w:r>
              <w:rPr>
                <w:rFonts w:hint="eastAsia"/>
                <w:color w:val="auto"/>
                <w:sz w:val="21"/>
                <w:szCs w:val="21"/>
                <w:lang w:eastAsia="zh-CN"/>
              </w:rPr>
              <w:t>“</w:t>
            </w:r>
            <w:r>
              <w:rPr>
                <w:rFonts w:hint="eastAsia"/>
                <w:color w:val="auto"/>
                <w:sz w:val="21"/>
                <w:szCs w:val="21"/>
              </w:rPr>
              <w:t>控制风险清单</w:t>
            </w:r>
            <w:r>
              <w:rPr>
                <w:rFonts w:hint="eastAsia"/>
                <w:color w:val="auto"/>
                <w:sz w:val="21"/>
                <w:szCs w:val="21"/>
                <w:lang w:eastAsia="zh-CN"/>
              </w:rPr>
              <w:t>”</w:t>
            </w:r>
            <w:r>
              <w:rPr>
                <w:rFonts w:hint="eastAsia"/>
                <w:color w:val="auto"/>
                <w:sz w:val="21"/>
                <w:szCs w:val="21"/>
              </w:rPr>
              <w:t>，不可接受风险有：</w:t>
            </w:r>
            <w:r>
              <w:rPr>
                <w:rFonts w:hint="eastAsia"/>
                <w:color w:val="auto"/>
                <w:sz w:val="21"/>
                <w:szCs w:val="21"/>
                <w:lang w:eastAsia="zh-CN"/>
              </w:rPr>
              <w:t>火灾、</w:t>
            </w:r>
            <w:r>
              <w:rPr>
                <w:rFonts w:hint="eastAsia"/>
                <w:color w:val="auto"/>
                <w:sz w:val="21"/>
                <w:szCs w:val="21"/>
              </w:rPr>
              <w:t>触电</w:t>
            </w:r>
            <w:r>
              <w:rPr>
                <w:rFonts w:hint="eastAsia"/>
                <w:color w:val="auto"/>
                <w:sz w:val="21"/>
                <w:szCs w:val="21"/>
                <w:lang w:eastAsia="zh-CN"/>
              </w:rPr>
              <w:t>、意外伤害、感染瘟疫</w:t>
            </w:r>
            <w:r>
              <w:rPr>
                <w:rFonts w:hint="eastAsia"/>
                <w:color w:val="auto"/>
                <w:sz w:val="21"/>
                <w:szCs w:val="21"/>
              </w:rPr>
              <w:t>。</w:t>
            </w:r>
          </w:p>
          <w:p>
            <w:pPr>
              <w:rPr>
                <w:rFonts w:ascii="宋体" w:hAnsi="宋体"/>
                <w:b w:val="0"/>
                <w:bCs/>
                <w:color w:val="auto"/>
                <w:sz w:val="21"/>
                <w:szCs w:val="21"/>
              </w:rPr>
            </w:pPr>
            <w:r>
              <w:rPr>
                <w:rFonts w:hint="eastAsia"/>
                <w:color w:val="auto"/>
                <w:sz w:val="21"/>
                <w:szCs w:val="21"/>
              </w:rPr>
              <w:t>以上</w:t>
            </w:r>
            <w:r>
              <w:rPr>
                <w:rFonts w:hint="eastAsia"/>
                <w:color w:val="auto"/>
                <w:sz w:val="21"/>
                <w:szCs w:val="21"/>
                <w:lang w:eastAsia="zh-CN"/>
              </w:rPr>
              <w:t>环境因素和</w:t>
            </w:r>
            <w:r>
              <w:rPr>
                <w:rFonts w:hint="eastAsia"/>
                <w:color w:val="auto"/>
                <w:sz w:val="21"/>
                <w:szCs w:val="21"/>
              </w:rPr>
              <w:t>危险源识别基本全面、无遗漏，评价基本合理。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8" w:hRule="atLeast"/>
          <w:jc w:val="center"/>
        </w:trPr>
        <w:tc>
          <w:tcPr>
            <w:tcW w:w="720" w:type="dxa"/>
            <w:vMerge w:val="continue"/>
            <w:vAlign w:val="center"/>
          </w:tcPr>
          <w:p>
            <w:pPr>
              <w:spacing w:line="240" w:lineRule="exact"/>
              <w:jc w:val="center"/>
              <w:rPr>
                <w:b w:val="0"/>
                <w:bCs/>
                <w:sz w:val="21"/>
                <w:szCs w:val="21"/>
              </w:rPr>
            </w:pPr>
          </w:p>
        </w:tc>
        <w:tc>
          <w:tcPr>
            <w:tcW w:w="9198" w:type="dxa"/>
          </w:tcPr>
          <w:p>
            <w:pPr>
              <w:spacing w:line="300" w:lineRule="exact"/>
              <w:rPr>
                <w:rFonts w:ascii="宋体" w:hAnsi="宋体"/>
                <w:b w:val="0"/>
                <w:bCs/>
                <w:sz w:val="21"/>
                <w:szCs w:val="21"/>
              </w:rPr>
            </w:pPr>
            <w:r>
              <w:rPr>
                <w:rFonts w:ascii="宋体" w:hAnsi="宋体"/>
                <w:b w:val="0"/>
                <w:bCs/>
                <w:sz w:val="21"/>
                <w:szCs w:val="21"/>
              </w:rPr>
              <w:t xml:space="preserve">8. </w:t>
            </w:r>
            <w:r>
              <w:rPr>
                <w:rFonts w:hint="eastAsia" w:ascii="宋体" w:hAnsi="宋体"/>
                <w:b w:val="0"/>
                <w:bCs/>
                <w:sz w:val="21"/>
                <w:szCs w:val="21"/>
              </w:rPr>
              <w:t>法律法规及其他要求</w:t>
            </w:r>
          </w:p>
          <w:p>
            <w:pPr>
              <w:pStyle w:val="13"/>
              <w:numPr>
                <w:ilvl w:val="0"/>
                <w:numId w:val="2"/>
              </w:numPr>
              <w:tabs>
                <w:tab w:val="left" w:pos="540"/>
              </w:tabs>
              <w:spacing w:line="300" w:lineRule="exact"/>
              <w:ind w:left="-13" w:leftChars="-43" w:hanging="90" w:hangingChars="43"/>
              <w:rPr>
                <w:rFonts w:ascii="宋体" w:hAnsi="宋体"/>
                <w:b w:val="0"/>
                <w:bCs/>
                <w:sz w:val="21"/>
                <w:szCs w:val="21"/>
              </w:rPr>
            </w:pPr>
            <w:r>
              <w:rPr>
                <w:rFonts w:hint="eastAsia" w:ascii="宋体" w:hAnsi="宋体"/>
                <w:b w:val="0"/>
                <w:bCs/>
                <w:sz w:val="21"/>
                <w:szCs w:val="21"/>
              </w:rPr>
              <w:t>获取法律法规项，</w:t>
            </w:r>
            <w:r>
              <w:rPr>
                <w:rFonts w:hint="eastAsia" w:ascii="宋体" w:hAnsi="宋体"/>
                <w:b w:val="0"/>
                <w:bCs/>
                <w:sz w:val="21"/>
                <w:szCs w:val="21"/>
              </w:rPr>
              <w:sym w:font="Wingdings 2" w:char="F0A2"/>
            </w:r>
            <w:r>
              <w:rPr>
                <w:rFonts w:hint="eastAsia" w:ascii="宋体" w:hAnsi="宋体"/>
                <w:b w:val="0"/>
                <w:bCs/>
                <w:sz w:val="21"/>
                <w:szCs w:val="21"/>
              </w:rPr>
              <w:t>法律法规获取充分</w:t>
            </w:r>
          </w:p>
          <w:p>
            <w:pPr>
              <w:pStyle w:val="13"/>
              <w:numPr>
                <w:ilvl w:val="0"/>
                <w:numId w:val="2"/>
              </w:numPr>
              <w:tabs>
                <w:tab w:val="left" w:pos="540"/>
              </w:tabs>
              <w:spacing w:line="300" w:lineRule="exact"/>
              <w:ind w:firstLineChars="0"/>
              <w:rPr>
                <w:rFonts w:ascii="宋体" w:hAnsi="宋体"/>
                <w:b w:val="0"/>
                <w:bCs/>
                <w:sz w:val="21"/>
                <w:szCs w:val="21"/>
              </w:rPr>
            </w:pPr>
            <w:r>
              <w:rPr>
                <w:rFonts w:hint="eastAsia" w:ascii="宋体" w:hAnsi="宋体"/>
                <w:b w:val="0"/>
                <w:bCs/>
                <w:sz w:val="21"/>
                <w:szCs w:val="21"/>
              </w:rPr>
              <w:t>结合公司的</w:t>
            </w:r>
            <w:r>
              <w:rPr>
                <w:rFonts w:hint="eastAsia" w:ascii="宋体" w:hAnsi="宋体"/>
                <w:b w:val="0"/>
                <w:bCs/>
                <w:sz w:val="21"/>
                <w:szCs w:val="21"/>
              </w:rPr>
              <w:sym w:font="Wingdings 2" w:char="F0A2"/>
            </w:r>
            <w:r>
              <w:rPr>
                <w:rFonts w:hint="eastAsia" w:ascii="宋体" w:hAnsi="宋体"/>
                <w:b w:val="0"/>
                <w:bCs/>
                <w:sz w:val="21"/>
                <w:szCs w:val="21"/>
              </w:rPr>
              <w:t>产品</w:t>
            </w:r>
            <w:r>
              <w:rPr>
                <w:rFonts w:ascii="宋体" w:hAnsi="宋体"/>
                <w:b w:val="0"/>
                <w:bCs/>
                <w:sz w:val="21"/>
                <w:szCs w:val="21"/>
              </w:rPr>
              <w:t>/</w:t>
            </w:r>
            <w:r>
              <w:rPr>
                <w:rFonts w:hint="eastAsia" w:ascii="宋体" w:hAnsi="宋体"/>
                <w:b w:val="0"/>
                <w:bCs/>
                <w:sz w:val="21"/>
                <w:szCs w:val="21"/>
              </w:rPr>
              <w:t>服务</w:t>
            </w:r>
            <w:r>
              <w:rPr>
                <w:rFonts w:hint="eastAsia" w:ascii="宋体" w:hAnsi="宋体"/>
                <w:b w:val="0"/>
                <w:bCs/>
                <w:sz w:val="21"/>
                <w:szCs w:val="21"/>
              </w:rPr>
              <w:sym w:font="Wingdings 2" w:char="F0A2"/>
            </w:r>
            <w:r>
              <w:rPr>
                <w:rFonts w:hint="eastAsia" w:ascii="宋体" w:hAnsi="宋体"/>
                <w:b w:val="0"/>
                <w:bCs/>
                <w:sz w:val="21"/>
                <w:szCs w:val="21"/>
              </w:rPr>
              <w:t>环境因素</w:t>
            </w:r>
            <w:r>
              <w:rPr>
                <w:rFonts w:hint="eastAsia" w:ascii="宋体" w:hAnsi="宋体"/>
                <w:b w:val="0"/>
                <w:bCs/>
                <w:sz w:val="21"/>
                <w:szCs w:val="21"/>
              </w:rPr>
              <w:sym w:font="Wingdings 2" w:char="F0A2"/>
            </w:r>
            <w:r>
              <w:rPr>
                <w:rFonts w:hint="eastAsia" w:ascii="宋体" w:hAnsi="宋体"/>
                <w:b w:val="0"/>
                <w:bCs/>
                <w:sz w:val="21"/>
                <w:szCs w:val="21"/>
              </w:rPr>
              <w:t>危险源，</w:t>
            </w:r>
            <w:r>
              <w:rPr>
                <w:rFonts w:hint="eastAsia" w:ascii="宋体" w:hAnsi="宋体"/>
                <w:b w:val="0"/>
                <w:bCs/>
                <w:sz w:val="21"/>
                <w:szCs w:val="21"/>
              </w:rPr>
              <w:sym w:font="Wingdings 2" w:char="F0A2"/>
            </w:r>
            <w:r>
              <w:rPr>
                <w:rFonts w:hint="eastAsia" w:ascii="宋体" w:hAnsi="宋体"/>
                <w:b w:val="0"/>
                <w:bCs/>
                <w:sz w:val="21"/>
                <w:szCs w:val="21"/>
              </w:rPr>
              <w:t>确定□未确定法律法规要求的具体条款，</w:t>
            </w:r>
          </w:p>
          <w:p>
            <w:pPr>
              <w:pStyle w:val="13"/>
              <w:numPr>
                <w:ilvl w:val="0"/>
                <w:numId w:val="2"/>
              </w:numPr>
              <w:tabs>
                <w:tab w:val="left" w:pos="540"/>
              </w:tabs>
              <w:spacing w:line="300" w:lineRule="exact"/>
              <w:ind w:firstLineChars="0"/>
              <w:rPr>
                <w:rFonts w:ascii="宋体" w:hAnsi="宋体"/>
                <w:b w:val="0"/>
                <w:bCs/>
                <w:sz w:val="21"/>
                <w:szCs w:val="21"/>
              </w:rPr>
            </w:pPr>
            <w:r>
              <w:rPr>
                <w:rFonts w:hint="eastAsia" w:ascii="宋体" w:hAnsi="宋体"/>
                <w:b w:val="0"/>
                <w:bCs/>
                <w:sz w:val="21"/>
                <w:szCs w:val="21"/>
              </w:rPr>
              <w:t>法律法规的宣传方式：培训</w:t>
            </w:r>
          </w:p>
          <w:p>
            <w:pPr>
              <w:pStyle w:val="13"/>
              <w:numPr>
                <w:ilvl w:val="0"/>
                <w:numId w:val="2"/>
              </w:numPr>
              <w:tabs>
                <w:tab w:val="left" w:pos="540"/>
              </w:tabs>
              <w:spacing w:line="300" w:lineRule="exact"/>
              <w:ind w:firstLineChars="0"/>
              <w:rPr>
                <w:rFonts w:ascii="宋体" w:hAnsi="宋体"/>
                <w:b w:val="0"/>
                <w:bCs/>
                <w:sz w:val="21"/>
                <w:szCs w:val="21"/>
              </w:rPr>
            </w:pPr>
            <w:r>
              <w:rPr>
                <w:rFonts w:hint="eastAsia" w:ascii="宋体" w:hAnsi="宋体"/>
                <w:b w:val="0"/>
                <w:bCs/>
                <w:sz w:val="21"/>
                <w:szCs w:val="21"/>
              </w:rPr>
              <w:t>法律法规要求及时更新了：是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val="0"/>
                <w:bCs/>
                <w:sz w:val="21"/>
                <w:szCs w:val="21"/>
              </w:rPr>
            </w:pPr>
          </w:p>
        </w:tc>
        <w:tc>
          <w:tcPr>
            <w:tcW w:w="9198" w:type="dxa"/>
          </w:tcPr>
          <w:p>
            <w:pPr>
              <w:spacing w:line="300" w:lineRule="exact"/>
              <w:rPr>
                <w:rFonts w:ascii="宋体" w:hAnsi="宋体"/>
                <w:b w:val="0"/>
                <w:bCs/>
                <w:sz w:val="21"/>
                <w:szCs w:val="21"/>
              </w:rPr>
            </w:pPr>
            <w:r>
              <w:rPr>
                <w:rFonts w:ascii="宋体" w:hAnsi="宋体"/>
                <w:b w:val="0"/>
                <w:bCs/>
                <w:sz w:val="21"/>
                <w:szCs w:val="21"/>
              </w:rPr>
              <w:t xml:space="preserve">5. </w:t>
            </w:r>
            <w:r>
              <w:rPr>
                <w:rFonts w:hint="eastAsia" w:ascii="宋体" w:hAnsi="宋体"/>
                <w:b w:val="0"/>
                <w:bCs/>
                <w:sz w:val="21"/>
                <w:szCs w:val="21"/>
              </w:rPr>
              <w:t>目标、方案</w:t>
            </w:r>
          </w:p>
          <w:p>
            <w:pPr>
              <w:spacing w:line="360" w:lineRule="exact"/>
              <w:ind w:firstLine="420" w:firstLineChars="200"/>
              <w:rPr>
                <w:rFonts w:cs="宋体"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公司管理目标：</w:t>
            </w:r>
          </w:p>
          <w:p>
            <w:pPr>
              <w:spacing w:line="240" w:lineRule="exact"/>
              <w:rPr>
                <w:rFonts w:hint="eastAsia" w:ascii="宋体" w:hAnsi="宋体"/>
                <w:b w:val="0"/>
                <w:bCs/>
                <w:sz w:val="21"/>
                <w:szCs w:val="21"/>
              </w:rPr>
            </w:pPr>
            <w:r>
              <w:rPr>
                <w:rFonts w:hint="eastAsia" w:ascii="宋体" w:hAnsi="宋体"/>
                <w:b w:val="0"/>
                <w:bCs/>
                <w:sz w:val="21"/>
                <w:szCs w:val="21"/>
              </w:rPr>
              <w:t>顾客满意率95%以上</w:t>
            </w:r>
          </w:p>
          <w:p>
            <w:pPr>
              <w:spacing w:line="240" w:lineRule="exact"/>
              <w:rPr>
                <w:rFonts w:hint="eastAsia" w:ascii="宋体" w:hAnsi="宋体"/>
                <w:b w:val="0"/>
                <w:bCs/>
                <w:color w:val="auto"/>
                <w:sz w:val="21"/>
                <w:szCs w:val="21"/>
              </w:rPr>
            </w:pPr>
            <w:r>
              <w:rPr>
                <w:rFonts w:hint="eastAsia" w:ascii="宋体" w:hAnsi="宋体"/>
                <w:b w:val="0"/>
                <w:bCs/>
                <w:sz w:val="21"/>
                <w:szCs w:val="21"/>
              </w:rPr>
              <w:t>一次</w:t>
            </w:r>
            <w:r>
              <w:rPr>
                <w:rFonts w:hint="eastAsia" w:ascii="宋体" w:hAnsi="宋体"/>
                <w:b w:val="0"/>
                <w:bCs/>
                <w:color w:val="auto"/>
                <w:sz w:val="21"/>
                <w:szCs w:val="21"/>
              </w:rPr>
              <w:t>交验合格率97%以上</w:t>
            </w:r>
          </w:p>
          <w:p>
            <w:pPr>
              <w:spacing w:line="240" w:lineRule="exact"/>
              <w:rPr>
                <w:rFonts w:hint="eastAsia" w:ascii="宋体" w:hAnsi="宋体"/>
                <w:b w:val="0"/>
                <w:bCs/>
                <w:color w:val="auto"/>
                <w:sz w:val="21"/>
                <w:szCs w:val="21"/>
              </w:rPr>
            </w:pPr>
            <w:r>
              <w:rPr>
                <w:rFonts w:hint="eastAsia" w:ascii="宋体" w:hAnsi="宋体"/>
                <w:b w:val="0"/>
                <w:bCs/>
                <w:color w:val="auto"/>
                <w:sz w:val="21"/>
                <w:szCs w:val="21"/>
              </w:rPr>
              <w:t>顾客投诉次数每月低于2次</w:t>
            </w:r>
          </w:p>
          <w:p>
            <w:pPr>
              <w:spacing w:line="240" w:lineRule="exact"/>
              <w:rPr>
                <w:rFonts w:hint="eastAsia" w:ascii="宋体" w:hAnsi="宋体"/>
                <w:b w:val="0"/>
                <w:bCs/>
                <w:color w:val="auto"/>
                <w:sz w:val="21"/>
                <w:szCs w:val="21"/>
              </w:rPr>
            </w:pPr>
            <w:r>
              <w:rPr>
                <w:rFonts w:hint="eastAsia" w:ascii="宋体" w:hAnsi="宋体"/>
                <w:b w:val="0"/>
                <w:bCs/>
                <w:color w:val="auto"/>
                <w:sz w:val="21"/>
                <w:szCs w:val="21"/>
              </w:rPr>
              <w:t>固体废弃物100%分类集中处理</w:t>
            </w:r>
          </w:p>
          <w:p>
            <w:pPr>
              <w:spacing w:line="240" w:lineRule="exact"/>
              <w:rPr>
                <w:rFonts w:hint="eastAsia" w:ascii="宋体" w:hAnsi="宋体"/>
                <w:b w:val="0"/>
                <w:bCs/>
                <w:color w:val="auto"/>
                <w:sz w:val="21"/>
                <w:szCs w:val="21"/>
              </w:rPr>
            </w:pPr>
            <w:r>
              <w:rPr>
                <w:rFonts w:hint="eastAsia" w:ascii="宋体" w:hAnsi="宋体"/>
                <w:b w:val="0"/>
                <w:bCs/>
                <w:color w:val="auto"/>
                <w:sz w:val="21"/>
                <w:szCs w:val="21"/>
              </w:rPr>
              <w:t>环境污染事故为0</w:t>
            </w:r>
          </w:p>
          <w:p>
            <w:pPr>
              <w:spacing w:line="240" w:lineRule="exact"/>
              <w:rPr>
                <w:rFonts w:hint="eastAsia" w:ascii="宋体" w:hAnsi="宋体"/>
                <w:b w:val="0"/>
                <w:bCs/>
                <w:color w:val="auto"/>
                <w:sz w:val="21"/>
                <w:szCs w:val="21"/>
              </w:rPr>
            </w:pPr>
            <w:r>
              <w:rPr>
                <w:rFonts w:hint="eastAsia" w:ascii="宋体" w:hAnsi="宋体"/>
                <w:b w:val="0"/>
                <w:bCs/>
                <w:color w:val="auto"/>
                <w:sz w:val="21"/>
                <w:szCs w:val="21"/>
              </w:rPr>
              <w:t>火灾事故发生率0</w:t>
            </w:r>
          </w:p>
          <w:p>
            <w:pPr>
              <w:spacing w:line="240" w:lineRule="exact"/>
              <w:rPr>
                <w:rFonts w:hint="eastAsia" w:ascii="宋体" w:hAnsi="宋体"/>
                <w:b w:val="0"/>
                <w:bCs/>
                <w:color w:val="auto"/>
                <w:sz w:val="21"/>
                <w:szCs w:val="21"/>
              </w:rPr>
            </w:pPr>
            <w:r>
              <w:rPr>
                <w:rFonts w:hint="eastAsia" w:ascii="宋体" w:hAnsi="宋体"/>
                <w:b w:val="0"/>
                <w:bCs/>
                <w:color w:val="auto"/>
                <w:sz w:val="21"/>
                <w:szCs w:val="21"/>
              </w:rPr>
              <w:t>安全事故发生率为0</w:t>
            </w:r>
          </w:p>
          <w:p>
            <w:pPr>
              <w:spacing w:line="300" w:lineRule="exact"/>
              <w:ind w:firstLine="420" w:firstLineChars="200"/>
              <w:rPr>
                <w:rFonts w:ascii="宋体" w:hAnsi="宋体"/>
                <w:b w:val="0"/>
                <w:bCs/>
                <w:color w:val="000000" w:themeColor="text1"/>
                <w:sz w:val="21"/>
                <w:szCs w:val="21"/>
              </w:rPr>
            </w:pPr>
            <w:r>
              <w:rPr>
                <w:rFonts w:hint="eastAsia" w:cs="宋体" w:asciiTheme="minorEastAsia" w:hAnsiTheme="minorEastAsia" w:eastAsiaTheme="minorEastAsia"/>
                <w:b w:val="0"/>
                <w:bCs/>
                <w:color w:val="auto"/>
                <w:sz w:val="21"/>
                <w:szCs w:val="21"/>
              </w:rPr>
              <w:t>提供了文件化可分解的目标、指标，经查问分解到各部门，经查阅建立的管理目标符合标准要求，在方针的框架下展开，每季度考核一次，提供20</w:t>
            </w:r>
            <w:r>
              <w:rPr>
                <w:rFonts w:hint="eastAsia" w:cs="宋体" w:asciiTheme="minorEastAsia" w:hAnsiTheme="minorEastAsia" w:eastAsiaTheme="minorEastAsia"/>
                <w:b w:val="0"/>
                <w:bCs/>
                <w:color w:val="auto"/>
                <w:sz w:val="21"/>
                <w:szCs w:val="21"/>
                <w:lang w:val="en-US" w:eastAsia="zh-CN"/>
              </w:rPr>
              <w:t>20</w:t>
            </w:r>
            <w:r>
              <w:rPr>
                <w:rFonts w:hint="eastAsia" w:cs="宋体" w:asciiTheme="minorEastAsia" w:hAnsiTheme="minorEastAsia" w:eastAsiaTheme="minorEastAsia"/>
                <w:b w:val="0"/>
                <w:bCs/>
                <w:color w:val="auto"/>
                <w:sz w:val="21"/>
                <w:szCs w:val="21"/>
              </w:rPr>
              <w:t>年</w:t>
            </w:r>
            <w:r>
              <w:rPr>
                <w:rFonts w:hint="eastAsia" w:cs="宋体" w:asciiTheme="minorEastAsia" w:hAnsiTheme="minorEastAsia" w:eastAsiaTheme="minorEastAsia"/>
                <w:b w:val="0"/>
                <w:bCs/>
                <w:color w:val="auto"/>
                <w:sz w:val="21"/>
                <w:szCs w:val="21"/>
                <w:lang w:val="en-US" w:eastAsia="zh-CN"/>
              </w:rPr>
              <w:t>1</w:t>
            </w:r>
            <w:r>
              <w:rPr>
                <w:rFonts w:hint="eastAsia" w:cs="宋体" w:asciiTheme="minorEastAsia" w:hAnsiTheme="minorEastAsia" w:eastAsiaTheme="minorEastAsia"/>
                <w:b w:val="0"/>
                <w:bCs/>
                <w:color w:val="auto"/>
                <w:sz w:val="21"/>
                <w:szCs w:val="21"/>
              </w:rPr>
              <w:t>季度目标考核记录，显示目标均已完成</w:t>
            </w:r>
            <w:r>
              <w:rPr>
                <w:rFonts w:hint="eastAsia" w:cs="宋体"/>
                <w:b w:val="0"/>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jc w:val="center"/>
        </w:trPr>
        <w:tc>
          <w:tcPr>
            <w:tcW w:w="720" w:type="dxa"/>
            <w:vMerge w:val="continue"/>
            <w:vAlign w:val="center"/>
          </w:tcPr>
          <w:p>
            <w:pPr>
              <w:spacing w:line="240" w:lineRule="exact"/>
              <w:jc w:val="center"/>
              <w:rPr>
                <w:b w:val="0"/>
                <w:bCs/>
                <w:sz w:val="21"/>
                <w:szCs w:val="21"/>
              </w:rPr>
            </w:pPr>
          </w:p>
        </w:tc>
        <w:tc>
          <w:tcPr>
            <w:tcW w:w="9198" w:type="dxa"/>
          </w:tcPr>
          <w:p>
            <w:pPr>
              <w:spacing w:line="240" w:lineRule="exact"/>
              <w:rPr>
                <w:rFonts w:ascii="宋体" w:hAnsi="宋体"/>
                <w:b w:val="0"/>
                <w:bCs/>
                <w:color w:val="000000" w:themeColor="text1"/>
                <w:sz w:val="21"/>
                <w:szCs w:val="21"/>
              </w:rPr>
            </w:pPr>
            <w:r>
              <w:rPr>
                <w:rFonts w:hint="eastAsia"/>
                <w:b w:val="0"/>
                <w:bCs/>
                <w:color w:val="000000" w:themeColor="text1"/>
                <w:sz w:val="21"/>
                <w:szCs w:val="21"/>
              </w:rPr>
              <w:t>6. 文件与记录控制 (</w:t>
            </w:r>
            <w:r>
              <w:rPr>
                <w:rFonts w:hint="eastAsia" w:ascii="宋体" w:hAnsi="宋体"/>
                <w:b w:val="0"/>
                <w:bCs/>
                <w:color w:val="000000" w:themeColor="text1"/>
                <w:sz w:val="21"/>
                <w:szCs w:val="21"/>
              </w:rPr>
              <w:t>文审修订后文件与标准的符合程度评价、</w:t>
            </w:r>
            <w:r>
              <w:rPr>
                <w:rFonts w:hint="eastAsia" w:ascii="宋体" w:hAnsi="宋体"/>
                <w:b w:val="0"/>
                <w:bCs/>
                <w:color w:val="000000" w:themeColor="text1"/>
                <w:spacing w:val="-4"/>
                <w:sz w:val="21"/>
                <w:szCs w:val="21"/>
              </w:rPr>
              <w:t>文件</w:t>
            </w:r>
            <w:r>
              <w:rPr>
                <w:rFonts w:hint="eastAsia" w:ascii="宋体" w:hAnsi="宋体"/>
                <w:b w:val="0"/>
                <w:bCs/>
                <w:color w:val="000000" w:themeColor="text1"/>
                <w:sz w:val="21"/>
                <w:szCs w:val="21"/>
              </w:rPr>
              <w:t>控制管理等)</w:t>
            </w:r>
          </w:p>
          <w:p>
            <w:pPr>
              <w:tabs>
                <w:tab w:val="left" w:pos="540"/>
              </w:tabs>
              <w:spacing w:line="240" w:lineRule="exact"/>
              <w:rPr>
                <w:rFonts w:ascii="宋体" w:hAnsi="宋体"/>
                <w:b w:val="0"/>
                <w:bCs/>
                <w:color w:val="000000" w:themeColor="text1"/>
                <w:sz w:val="21"/>
                <w:szCs w:val="21"/>
              </w:rPr>
            </w:pPr>
            <w:r>
              <w:rPr>
                <w:rFonts w:hint="eastAsia" w:cs="宋体"/>
                <w:b w:val="0"/>
                <w:bCs/>
                <w:sz w:val="21"/>
                <w:szCs w:val="21"/>
              </w:rPr>
              <w:t>管理体系文件由综合部组织编写，管理者代表审核，总经理批准后发布，综合部按照要求发放，签收部门确认。外来文件控制分发，有专人负责。记录管理：综合部根据管理体系要求设计了空白表格，按照需求发放，由使用人员填写记录并保存，综合部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val="0"/>
                <w:bCs/>
                <w:sz w:val="21"/>
                <w:szCs w:val="21"/>
              </w:rPr>
            </w:pPr>
            <w:r>
              <w:rPr>
                <w:b w:val="0"/>
                <w:bCs/>
                <w:sz w:val="21"/>
                <w:szCs w:val="21"/>
              </w:rPr>
              <w:br w:type="page"/>
            </w:r>
            <w:r>
              <w:rPr>
                <w:rFonts w:ascii="宋体" w:hAnsi="宋体"/>
                <w:b w:val="0"/>
                <w:bCs/>
                <w:sz w:val="21"/>
                <w:szCs w:val="21"/>
              </w:rPr>
              <w:t>(</w:t>
            </w:r>
            <w:r>
              <w:rPr>
                <w:rFonts w:hint="eastAsia" w:ascii="宋体" w:hAnsi="宋体"/>
                <w:b w:val="0"/>
                <w:bCs/>
                <w:sz w:val="21"/>
                <w:szCs w:val="21"/>
              </w:rPr>
              <w:t>二</w:t>
            </w:r>
            <w:r>
              <w:rPr>
                <w:rFonts w:ascii="宋体" w:hAnsi="宋体"/>
                <w:b w:val="0"/>
                <w:bCs/>
                <w:sz w:val="21"/>
                <w:szCs w:val="21"/>
              </w:rPr>
              <w:t>)</w:t>
            </w:r>
            <w:r>
              <w:rPr>
                <w:rFonts w:hint="eastAsia" w:ascii="宋体" w:hAnsi="宋体"/>
                <w:b w:val="0"/>
                <w:bCs/>
                <w:sz w:val="21"/>
                <w:szCs w:val="21"/>
              </w:rPr>
              <w:t>资源评价</w:t>
            </w:r>
          </w:p>
        </w:tc>
        <w:tc>
          <w:tcPr>
            <w:tcW w:w="9198" w:type="dxa"/>
          </w:tcPr>
          <w:p>
            <w:pPr>
              <w:spacing w:line="300" w:lineRule="exact"/>
              <w:rPr>
                <w:rFonts w:hint="eastAsia" w:ascii="宋体" w:hAnsi="宋体"/>
                <w:b w:val="0"/>
                <w:bCs/>
                <w:sz w:val="21"/>
                <w:szCs w:val="21"/>
              </w:rPr>
            </w:pPr>
            <w:r>
              <w:rPr>
                <w:rFonts w:hint="eastAsia" w:ascii="宋体" w:hAnsi="宋体"/>
                <w:b w:val="0"/>
                <w:bCs/>
                <w:sz w:val="21"/>
                <w:szCs w:val="21"/>
              </w:rPr>
              <w:t>人力资源的简要说明</w:t>
            </w:r>
            <w:r>
              <w:rPr>
                <w:rFonts w:ascii="宋体" w:hAnsi="宋体"/>
                <w:b w:val="0"/>
                <w:bCs/>
                <w:sz w:val="21"/>
                <w:szCs w:val="21"/>
              </w:rPr>
              <w:t>:</w:t>
            </w:r>
          </w:p>
          <w:p>
            <w:pPr>
              <w:ind w:firstLine="420" w:firstLineChars="200"/>
              <w:rPr>
                <w:rFonts w:ascii="宋体" w:hAnsi="宋体" w:cs="宋体"/>
                <w:b w:val="0"/>
                <w:bCs/>
                <w:sz w:val="21"/>
                <w:szCs w:val="21"/>
              </w:rPr>
            </w:pPr>
            <w:r>
              <w:rPr>
                <w:rFonts w:hint="eastAsia" w:ascii="宋体" w:hAnsi="宋体" w:cs="宋体"/>
                <w:b w:val="0"/>
                <w:bCs/>
                <w:sz w:val="21"/>
                <w:szCs w:val="21"/>
              </w:rPr>
              <w:t>公司目前员工11人，包括管理人员、研发人员、业务人员等，公司人员文化程度较高，接受先进的技术能力比较强。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val="0"/>
                <w:bCs/>
                <w:sz w:val="21"/>
                <w:szCs w:val="21"/>
              </w:rPr>
            </w:pPr>
          </w:p>
        </w:tc>
        <w:tc>
          <w:tcPr>
            <w:tcW w:w="9198" w:type="dxa"/>
          </w:tcPr>
          <w:p>
            <w:pPr>
              <w:spacing w:line="240" w:lineRule="exact"/>
              <w:rPr>
                <w:rFonts w:ascii="宋体" w:hAnsi="宋体"/>
                <w:b w:val="0"/>
                <w:bCs/>
                <w:sz w:val="21"/>
                <w:szCs w:val="21"/>
              </w:rPr>
            </w:pPr>
            <w:r>
              <w:rPr>
                <w:rFonts w:hint="eastAsia" w:ascii="宋体" w:hAnsi="宋体"/>
                <w:b w:val="0"/>
                <w:bCs/>
                <w:sz w:val="21"/>
                <w:szCs w:val="21"/>
              </w:rPr>
              <w:t>设备设施（包括信息系统）、</w:t>
            </w:r>
          </w:p>
          <w:p>
            <w:pPr>
              <w:ind w:firstLine="420" w:firstLineChars="200"/>
              <w:rPr>
                <w:rFonts w:ascii="宋体" w:hAnsi="宋体" w:cs="Arial"/>
                <w:b w:val="0"/>
                <w:bCs/>
                <w:sz w:val="21"/>
                <w:szCs w:val="21"/>
              </w:rPr>
            </w:pPr>
            <w:r>
              <w:rPr>
                <w:rFonts w:hint="eastAsia" w:ascii="宋体" w:hAnsi="宋体"/>
                <w:b w:val="0"/>
                <w:bCs/>
                <w:sz w:val="21"/>
                <w:szCs w:val="21"/>
              </w:rPr>
              <w:t>公司主要办公、研发基本设施:电脑（</w:t>
            </w:r>
            <w:r>
              <w:rPr>
                <w:rFonts w:ascii="宋体" w:hAnsi="宋体"/>
                <w:b w:val="0"/>
                <w:bCs/>
                <w:sz w:val="21"/>
                <w:szCs w:val="21"/>
              </w:rPr>
              <w:t xml:space="preserve"> All series</w:t>
            </w:r>
            <w:r>
              <w:rPr>
                <w:rFonts w:hint="eastAsia" w:ascii="宋体" w:hAnsi="宋体"/>
                <w:b w:val="0"/>
                <w:bCs/>
                <w:sz w:val="21"/>
                <w:szCs w:val="21"/>
              </w:rPr>
              <w:t xml:space="preserve"> ）9台/套 、</w:t>
            </w:r>
            <w:r>
              <w:rPr>
                <w:rFonts w:ascii="宋体" w:hAnsi="宋体" w:cs="Arial"/>
                <w:b w:val="0"/>
                <w:bCs/>
                <w:sz w:val="21"/>
                <w:szCs w:val="21"/>
              </w:rPr>
              <w:t>打印复印机</w:t>
            </w:r>
            <w:r>
              <w:rPr>
                <w:rFonts w:hint="eastAsia" w:ascii="宋体" w:hAnsi="宋体" w:cs="Arial"/>
                <w:b w:val="0"/>
                <w:bCs/>
                <w:sz w:val="21"/>
                <w:szCs w:val="21"/>
              </w:rPr>
              <w:t>、</w:t>
            </w:r>
            <w:r>
              <w:rPr>
                <w:rFonts w:ascii="宋体" w:hAnsi="宋体" w:cs="Arial"/>
                <w:b w:val="0"/>
                <w:bCs/>
                <w:sz w:val="21"/>
                <w:szCs w:val="21"/>
              </w:rPr>
              <w:t>扫描一体机、烧杯、容量瓶、量筒、水热反应釜等。</w:t>
            </w:r>
          </w:p>
          <w:p>
            <w:pPr>
              <w:rPr>
                <w:rFonts w:ascii="宋体" w:hAnsi="宋体"/>
                <w:b w:val="0"/>
                <w:bCs/>
                <w:sz w:val="21"/>
                <w:szCs w:val="21"/>
              </w:rPr>
            </w:pPr>
            <w:r>
              <w:rPr>
                <w:rFonts w:ascii="宋体" w:hAnsi="宋体"/>
                <w:b w:val="0"/>
                <w:bCs/>
                <w:sz w:val="21"/>
                <w:szCs w:val="21"/>
              </w:rPr>
              <w:t>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val="0"/>
                <w:bCs/>
                <w:sz w:val="21"/>
                <w:szCs w:val="21"/>
              </w:rPr>
            </w:pPr>
          </w:p>
        </w:tc>
        <w:tc>
          <w:tcPr>
            <w:tcW w:w="9198" w:type="dxa"/>
          </w:tcPr>
          <w:p>
            <w:pPr>
              <w:spacing w:line="240" w:lineRule="exact"/>
              <w:rPr>
                <w:rFonts w:ascii="宋体" w:hAnsi="宋体"/>
                <w:b w:val="0"/>
                <w:bCs/>
                <w:sz w:val="21"/>
                <w:szCs w:val="21"/>
              </w:rPr>
            </w:pPr>
            <w:r>
              <w:rPr>
                <w:rFonts w:hint="eastAsia" w:ascii="宋体" w:hAnsi="宋体"/>
                <w:b w:val="0"/>
                <w:bCs/>
                <w:sz w:val="21"/>
                <w:szCs w:val="21"/>
              </w:rPr>
              <w:t>过程运行环境</w:t>
            </w:r>
          </w:p>
          <w:p>
            <w:pPr>
              <w:spacing w:line="240" w:lineRule="exact"/>
              <w:ind w:firstLine="420" w:firstLineChars="200"/>
              <w:rPr>
                <w:rFonts w:ascii="宋体" w:hAnsi="宋体"/>
                <w:b w:val="0"/>
                <w:bCs/>
                <w:sz w:val="21"/>
                <w:szCs w:val="21"/>
              </w:rPr>
            </w:pPr>
            <w:r>
              <w:rPr>
                <w:rFonts w:hint="eastAsia" w:ascii="宋体" w:hAnsi="宋体" w:cstheme="minorEastAsia"/>
                <w:b w:val="0"/>
                <w:bCs/>
                <w:sz w:val="21"/>
                <w:szCs w:val="21"/>
              </w:rPr>
              <w:t>企业经营地为租赁，面积共300平米，主要用于研发与办公，仓库61平米，满足研发和销售需求。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val="0"/>
                <w:bCs/>
                <w:sz w:val="21"/>
                <w:szCs w:val="21"/>
              </w:rPr>
            </w:pPr>
          </w:p>
        </w:tc>
        <w:tc>
          <w:tcPr>
            <w:tcW w:w="9198" w:type="dxa"/>
          </w:tcPr>
          <w:p>
            <w:pPr>
              <w:spacing w:line="240" w:lineRule="exact"/>
              <w:rPr>
                <w:rFonts w:hint="eastAsia" w:ascii="宋体" w:hAnsi="宋体"/>
                <w:b w:val="0"/>
                <w:bCs/>
                <w:sz w:val="21"/>
                <w:szCs w:val="21"/>
              </w:rPr>
            </w:pPr>
            <w:r>
              <w:rPr>
                <w:rFonts w:hint="eastAsia" w:ascii="宋体" w:hAnsi="宋体"/>
                <w:b w:val="0"/>
                <w:bCs/>
                <w:sz w:val="21"/>
                <w:szCs w:val="21"/>
              </w:rPr>
              <w:t>监视和测量资源</w:t>
            </w:r>
          </w:p>
          <w:p>
            <w:pPr>
              <w:ind w:firstLine="420" w:firstLineChars="200"/>
              <w:rPr>
                <w:rFonts w:hint="default" w:ascii="宋体" w:hAnsi="宋体" w:eastAsia="宋体"/>
                <w:b w:val="0"/>
                <w:bCs/>
                <w:sz w:val="21"/>
                <w:szCs w:val="21"/>
                <w:lang w:val="en-US" w:eastAsia="zh-CN"/>
              </w:rPr>
            </w:pPr>
            <w:r>
              <w:rPr>
                <w:rFonts w:ascii="宋体" w:hAnsi="宋体"/>
                <w:b w:val="0"/>
                <w:bCs/>
                <w:sz w:val="21"/>
                <w:szCs w:val="21"/>
              </w:rPr>
              <w:t>研发、检验过程配备有检查表格和检验人员，编制了监视和测量规程，配备监视和测量设备</w:t>
            </w:r>
            <w:r>
              <w:rPr>
                <w:rFonts w:hint="eastAsia" w:ascii="宋体" w:hAnsi="宋体"/>
                <w:b w:val="0"/>
                <w:bCs/>
                <w:sz w:val="21"/>
                <w:szCs w:val="21"/>
              </w:rPr>
              <w:t>有：接地电阻测试仪、数显卡尺、压力表、耐压测试仪等</w:t>
            </w:r>
            <w:r>
              <w:rPr>
                <w:rFonts w:hint="eastAsia" w:ascii="宋体" w:hAnsi="宋体"/>
                <w:b w:val="0"/>
                <w:bCs/>
                <w:sz w:val="21"/>
                <w:szCs w:val="21"/>
                <w:lang w:eastAsia="zh-CN"/>
              </w:rPr>
              <w:t>，并按时进行了检定</w:t>
            </w:r>
            <w:r>
              <w:rPr>
                <w:rFonts w:hint="eastAsia" w:ascii="宋体" w:hAnsi="宋体"/>
                <w:b w:val="0"/>
                <w:bCs/>
                <w:sz w:val="21"/>
                <w:szCs w:val="21"/>
                <w:lang w:val="en-US" w:eastAsia="zh-CN"/>
              </w:rPr>
              <w:t>/校准（见附件）</w:t>
            </w:r>
          </w:p>
          <w:p>
            <w:pPr>
              <w:rPr>
                <w:rFonts w:hint="eastAsia" w:ascii="宋体" w:hAnsi="宋体" w:eastAsia="宋体"/>
                <w:b w:val="0"/>
                <w:bCs/>
                <w:sz w:val="21"/>
                <w:szCs w:val="21"/>
                <w:lang w:eastAsia="zh-CN"/>
              </w:rPr>
            </w:pPr>
            <w:r>
              <w:rPr>
                <w:rFonts w:ascii="宋体" w:hAnsi="宋体"/>
                <w:b w:val="0"/>
                <w:bCs/>
                <w:sz w:val="21"/>
                <w:szCs w:val="21"/>
              </w:rPr>
              <w:t>基本满足要求</w:t>
            </w:r>
            <w:r>
              <w:rPr>
                <w:rFonts w:hint="eastAsia" w:ascii="宋体" w:hAnsi="宋体"/>
                <w:b w:val="0"/>
                <w:bCs/>
                <w:sz w:val="21"/>
                <w:szCs w:val="21"/>
                <w:lang w:eastAsia="zh-CN"/>
              </w:rPr>
              <w:t>。</w:t>
            </w:r>
          </w:p>
          <w:p>
            <w:pPr>
              <w:spacing w:line="240" w:lineRule="exact"/>
              <w:rPr>
                <w:rFonts w:ascii="宋体" w:hAnsi="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val="0"/>
                <w:bCs/>
                <w:sz w:val="21"/>
                <w:szCs w:val="21"/>
              </w:rPr>
            </w:pPr>
          </w:p>
        </w:tc>
        <w:tc>
          <w:tcPr>
            <w:tcW w:w="9198" w:type="dxa"/>
          </w:tcPr>
          <w:p>
            <w:pPr>
              <w:spacing w:line="240" w:lineRule="exact"/>
              <w:rPr>
                <w:rFonts w:hint="eastAsia" w:ascii="宋体" w:hAnsi="宋体"/>
                <w:b w:val="0"/>
                <w:bCs/>
                <w:sz w:val="21"/>
                <w:szCs w:val="21"/>
              </w:rPr>
            </w:pPr>
            <w:r>
              <w:rPr>
                <w:rFonts w:hint="eastAsia" w:ascii="宋体" w:hAnsi="宋体"/>
                <w:b w:val="0"/>
                <w:bCs/>
                <w:sz w:val="21"/>
                <w:szCs w:val="21"/>
              </w:rPr>
              <w:t>知识</w:t>
            </w:r>
          </w:p>
          <w:p>
            <w:pPr>
              <w:ind w:firstLine="420" w:firstLineChars="200"/>
              <w:rPr>
                <w:rFonts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综合部负责公司知识管理的协调工作、无形资产的管理、信息系统的建设与管理以及公司所有制度文件和资料的管理和控制工作，并对内、外部知识进行确定、维护、发放与管理。</w:t>
            </w:r>
          </w:p>
          <w:p>
            <w:pPr>
              <w:ind w:firstLine="420" w:firstLineChars="200"/>
              <w:rPr>
                <w:rFonts w:ascii="宋体" w:hAnsi="宋体" w:cstheme="minorEastAsia"/>
                <w:b w:val="0"/>
                <w:bCs/>
                <w:sz w:val="21"/>
                <w:szCs w:val="21"/>
              </w:rPr>
            </w:pPr>
            <w:r>
              <w:rPr>
                <w:rFonts w:hint="eastAsia" w:asciiTheme="minorEastAsia" w:hAnsiTheme="minorEastAsia" w:eastAsiaTheme="minorEastAsia" w:cstheme="minorEastAsia"/>
                <w:b w:val="0"/>
                <w:bCs/>
                <w:sz w:val="21"/>
                <w:szCs w:val="21"/>
              </w:rPr>
              <w:t>已识别的公司内部知识包括：企业管理知识，专业技术知识，市场营销知识，成功经验总结，失败教训案例，培训心得体</w:t>
            </w:r>
            <w:r>
              <w:rPr>
                <w:rFonts w:hint="eastAsia" w:ascii="宋体" w:hAnsi="宋体" w:cstheme="minorEastAsia"/>
                <w:b w:val="0"/>
                <w:bCs/>
                <w:sz w:val="21"/>
                <w:szCs w:val="21"/>
              </w:rPr>
              <w:t>会。主要有：人员的工作经历、经验、操作技能、作业文件等。</w:t>
            </w:r>
          </w:p>
          <w:p>
            <w:pPr>
              <w:ind w:firstLine="420" w:firstLineChars="200"/>
              <w:rPr>
                <w:b w:val="0"/>
                <w:bCs/>
                <w:sz w:val="21"/>
                <w:szCs w:val="21"/>
              </w:rPr>
            </w:pPr>
            <w:r>
              <w:rPr>
                <w:rFonts w:hint="eastAsia"/>
                <w:b w:val="0"/>
                <w:bCs/>
                <w:sz w:val="21"/>
                <w:szCs w:val="21"/>
              </w:rPr>
              <w:t>外部知识包括：外来资料、市场信息，学术交流，专业会议，从顾客或外部供方出收集来的知识等，主要有：</w:t>
            </w:r>
          </w:p>
          <w:p>
            <w:pPr>
              <w:rPr>
                <w:b w:val="0"/>
                <w:bCs/>
                <w:sz w:val="21"/>
                <w:szCs w:val="21"/>
              </w:rPr>
            </w:pPr>
            <w:r>
              <w:rPr>
                <w:rFonts w:hint="eastAsia"/>
                <w:b w:val="0"/>
                <w:bCs/>
                <w:sz w:val="21"/>
                <w:szCs w:val="21"/>
              </w:rPr>
              <w:t>a)法律法规：《中华人民共和国产品质量法》、《中华人民共和国合同法》等</w:t>
            </w:r>
          </w:p>
          <w:p>
            <w:pPr>
              <w:rPr>
                <w:rFonts w:ascii="宋体" w:hAnsi="宋体"/>
                <w:b w:val="0"/>
                <w:bCs/>
                <w:sz w:val="21"/>
                <w:szCs w:val="21"/>
              </w:rPr>
            </w:pPr>
            <w:r>
              <w:rPr>
                <w:rFonts w:hint="eastAsia"/>
                <w:b w:val="0"/>
                <w:bCs/>
                <w:color w:val="000000"/>
                <w:sz w:val="21"/>
                <w:szCs w:val="21"/>
              </w:rPr>
              <w:t>b)</w:t>
            </w:r>
            <w:r>
              <w:rPr>
                <w:b w:val="0"/>
                <w:bCs/>
                <w:color w:val="000000"/>
                <w:sz w:val="21"/>
                <w:szCs w:val="21"/>
              </w:rPr>
              <w:t>产品</w:t>
            </w:r>
            <w:r>
              <w:rPr>
                <w:rFonts w:hint="eastAsia"/>
                <w:b w:val="0"/>
                <w:bCs/>
                <w:color w:val="000000"/>
                <w:sz w:val="21"/>
                <w:szCs w:val="21"/>
              </w:rPr>
              <w:t>研发、销售</w:t>
            </w:r>
            <w:r>
              <w:rPr>
                <w:b w:val="0"/>
                <w:bCs/>
                <w:color w:val="000000"/>
                <w:sz w:val="21"/>
                <w:szCs w:val="21"/>
              </w:rPr>
              <w:t>执行标准：</w:t>
            </w:r>
            <w:r>
              <w:rPr>
                <w:rFonts w:hint="eastAsia" w:ascii="宋体" w:hAnsi="宋体"/>
                <w:b w:val="0"/>
                <w:bCs/>
                <w:sz w:val="21"/>
                <w:szCs w:val="21"/>
              </w:rPr>
              <w:t>《家用和类似用途电器的安全 第1部分：通用要求》GB4706.1－2005</w:t>
            </w:r>
          </w:p>
          <w:p>
            <w:pPr>
              <w:ind w:firstLine="2520" w:firstLineChars="1200"/>
              <w:rPr>
                <w:rFonts w:ascii="宋体" w:hAnsi="宋体"/>
                <w:b w:val="0"/>
                <w:bCs/>
                <w:sz w:val="21"/>
                <w:szCs w:val="21"/>
              </w:rPr>
            </w:pPr>
            <w:r>
              <w:rPr>
                <w:rFonts w:hint="eastAsia" w:ascii="宋体" w:hAnsi="宋体"/>
                <w:b w:val="0"/>
                <w:bCs/>
                <w:sz w:val="21"/>
                <w:szCs w:val="21"/>
              </w:rPr>
              <w:t>《家用和类似用途电器的安全 快热式热水器的特殊要求》GB4706.11-2008</w:t>
            </w:r>
          </w:p>
          <w:p>
            <w:pPr>
              <w:ind w:firstLine="2520" w:firstLineChars="1200"/>
              <w:rPr>
                <w:rFonts w:ascii="宋体" w:hAnsi="宋体"/>
                <w:b w:val="0"/>
                <w:bCs/>
                <w:sz w:val="21"/>
                <w:szCs w:val="21"/>
              </w:rPr>
            </w:pPr>
            <w:r>
              <w:rPr>
                <w:rFonts w:hint="eastAsia" w:ascii="宋体" w:hAnsi="宋体"/>
                <w:b w:val="0"/>
                <w:bCs/>
                <w:sz w:val="21"/>
                <w:szCs w:val="21"/>
              </w:rPr>
              <w:t>《消费品使用说明家电和类似用途电器的使用》GB5296.2－2008</w:t>
            </w:r>
          </w:p>
          <w:p>
            <w:pPr>
              <w:ind w:firstLine="2310" w:firstLineChars="1100"/>
              <w:rPr>
                <w:rFonts w:ascii="宋体" w:hAnsi="宋体"/>
                <w:b w:val="0"/>
                <w:bCs/>
                <w:sz w:val="21"/>
                <w:szCs w:val="21"/>
              </w:rPr>
            </w:pPr>
            <w:r>
              <w:rPr>
                <w:rFonts w:hint="eastAsia" w:ascii="宋体" w:hAnsi="宋体"/>
                <w:b w:val="0"/>
                <w:bCs/>
                <w:sz w:val="21"/>
                <w:szCs w:val="21"/>
              </w:rPr>
              <w:t>《快热式热水器》GB/T26185－2010</w:t>
            </w:r>
          </w:p>
          <w:p>
            <w:pPr>
              <w:tabs>
                <w:tab w:val="left" w:pos="703"/>
              </w:tabs>
              <w:spacing w:line="360" w:lineRule="auto"/>
              <w:ind w:firstLine="1995" w:firstLineChars="950"/>
              <w:rPr>
                <w:rFonts w:ascii="宋体" w:hAnsi="宋体"/>
                <w:b w:val="0"/>
                <w:bCs/>
                <w:sz w:val="21"/>
                <w:szCs w:val="21"/>
              </w:rPr>
            </w:pPr>
            <w:r>
              <w:rPr>
                <w:rFonts w:ascii="宋体" w:hAnsi="宋体"/>
                <w:b w:val="0"/>
                <w:bCs/>
                <w:sz w:val="21"/>
                <w:szCs w:val="21"/>
              </w:rPr>
              <w:t>DB13/T 2768.4-</w:t>
            </w:r>
            <w:r>
              <w:rPr>
                <w:rFonts w:hint="eastAsia" w:ascii="宋体" w:hAnsi="宋体"/>
                <w:b w:val="0"/>
                <w:bCs/>
                <w:sz w:val="21"/>
                <w:szCs w:val="21"/>
              </w:rPr>
              <w:t xml:space="preserve">2019 </w:t>
            </w:r>
            <w:r>
              <w:rPr>
                <w:rFonts w:ascii="宋体" w:hAnsi="宋体"/>
                <w:b w:val="0"/>
                <w:bCs/>
                <w:sz w:val="21"/>
                <w:szCs w:val="21"/>
              </w:rPr>
              <w:t>石墨烯粉体材料检测方法 第4部分：比表面积、孔容和孔径的测定 BET法；</w:t>
            </w:r>
          </w:p>
          <w:p>
            <w:pPr>
              <w:rPr>
                <w:rFonts w:ascii="宋体" w:hAnsi="宋体"/>
                <w:b w:val="0"/>
                <w:bCs/>
                <w:sz w:val="21"/>
                <w:szCs w:val="21"/>
              </w:rPr>
            </w:pPr>
            <w:r>
              <w:rPr>
                <w:rFonts w:hint="eastAsia"/>
                <w:b w:val="0"/>
                <w:bCs/>
                <w:sz w:val="21"/>
                <w:szCs w:val="21"/>
              </w:rPr>
              <w:t>b)产品研发参考资料：光催化环境净化与绿色能源应用探索</w:t>
            </w:r>
            <w:r>
              <w:rPr>
                <w:rFonts w:hint="eastAsia"/>
                <w:b w:val="0"/>
                <w:bCs/>
                <w:sz w:val="21"/>
                <w:szCs w:val="21"/>
                <w:lang w:eastAsia="zh-CN"/>
              </w:rPr>
              <w:t>等</w:t>
            </w:r>
            <w:r>
              <w:rPr>
                <w:rFonts w:hint="eastAsia"/>
                <w:b w:val="0"/>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720" w:type="dxa"/>
            <w:vMerge w:val="continue"/>
            <w:textDirection w:val="tbRlV"/>
            <w:vAlign w:val="center"/>
          </w:tcPr>
          <w:p>
            <w:pPr>
              <w:spacing w:line="240" w:lineRule="exact"/>
              <w:ind w:left="113" w:right="113"/>
              <w:jc w:val="center"/>
              <w:rPr>
                <w:b w:val="0"/>
                <w:bCs/>
                <w:sz w:val="21"/>
                <w:szCs w:val="21"/>
              </w:rPr>
            </w:pPr>
          </w:p>
        </w:tc>
        <w:tc>
          <w:tcPr>
            <w:tcW w:w="9198" w:type="dxa"/>
          </w:tcPr>
          <w:p>
            <w:pPr>
              <w:spacing w:line="240" w:lineRule="exact"/>
              <w:rPr>
                <w:rFonts w:hint="eastAsia" w:ascii="宋体" w:hAnsi="宋体"/>
                <w:b w:val="0"/>
                <w:bCs/>
                <w:color w:val="auto"/>
                <w:sz w:val="21"/>
                <w:szCs w:val="21"/>
              </w:rPr>
            </w:pPr>
            <w:r>
              <w:rPr>
                <w:rFonts w:hint="eastAsia" w:ascii="宋体" w:hAnsi="宋体"/>
                <w:b w:val="0"/>
                <w:bCs/>
                <w:color w:val="auto"/>
                <w:sz w:val="21"/>
                <w:szCs w:val="21"/>
              </w:rPr>
              <w:t>环保设施：</w:t>
            </w:r>
          </w:p>
          <w:p>
            <w:pPr>
              <w:pStyle w:val="2"/>
              <w:rPr>
                <w:rFonts w:hint="eastAsia"/>
              </w:rPr>
            </w:pPr>
          </w:p>
          <w:p>
            <w:pPr>
              <w:spacing w:line="240" w:lineRule="exact"/>
              <w:rPr>
                <w:rFonts w:hint="eastAsia" w:ascii="宋体" w:hAnsi="宋体" w:eastAsia="宋体"/>
                <w:b w:val="0"/>
                <w:bCs/>
                <w:color w:val="auto"/>
                <w:sz w:val="21"/>
                <w:szCs w:val="21"/>
                <w:lang w:eastAsia="zh-CN"/>
              </w:rPr>
            </w:pPr>
            <w:r>
              <w:rPr>
                <w:rFonts w:hint="eastAsia" w:ascii="宋体" w:hAnsi="宋体"/>
                <w:color w:val="auto"/>
                <w:sz w:val="21"/>
                <w:szCs w:val="21"/>
              </w:rPr>
              <w:t>消防栓、灭火器（干粉、水基）</w:t>
            </w:r>
            <w:r>
              <w:rPr>
                <w:rFonts w:hint="eastAsia" w:ascii="宋体" w:hAnsi="宋体"/>
                <w:color w:val="auto"/>
                <w:sz w:val="21"/>
                <w:szCs w:val="21"/>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720" w:type="dxa"/>
            <w:vMerge w:val="continue"/>
            <w:textDirection w:val="tbRlV"/>
            <w:vAlign w:val="center"/>
          </w:tcPr>
          <w:p>
            <w:pPr>
              <w:spacing w:line="240" w:lineRule="exact"/>
              <w:ind w:left="113" w:right="113"/>
              <w:jc w:val="center"/>
              <w:rPr>
                <w:b w:val="0"/>
                <w:bCs/>
                <w:sz w:val="21"/>
                <w:szCs w:val="21"/>
              </w:rPr>
            </w:pPr>
          </w:p>
        </w:tc>
        <w:tc>
          <w:tcPr>
            <w:tcW w:w="9198" w:type="dxa"/>
          </w:tcPr>
          <w:p>
            <w:pPr>
              <w:spacing w:line="240" w:lineRule="exact"/>
              <w:rPr>
                <w:rFonts w:hint="eastAsia" w:ascii="宋体" w:hAnsi="宋体"/>
                <w:b w:val="0"/>
                <w:bCs/>
                <w:color w:val="auto"/>
                <w:sz w:val="21"/>
                <w:szCs w:val="21"/>
              </w:rPr>
            </w:pPr>
            <w:r>
              <w:rPr>
                <w:rFonts w:hint="eastAsia" w:ascii="宋体" w:hAnsi="宋体"/>
                <w:b w:val="0"/>
                <w:bCs/>
                <w:color w:val="auto"/>
                <w:sz w:val="21"/>
                <w:szCs w:val="21"/>
              </w:rPr>
              <w:t>职业健康安全设施：</w:t>
            </w:r>
          </w:p>
          <w:p>
            <w:pPr>
              <w:spacing w:line="240" w:lineRule="exact"/>
              <w:rPr>
                <w:rFonts w:hint="eastAsia" w:ascii="宋体" w:hAnsi="宋体"/>
                <w:b w:val="0"/>
                <w:bCs/>
                <w:color w:val="auto"/>
                <w:sz w:val="21"/>
                <w:szCs w:val="21"/>
              </w:rPr>
            </w:pPr>
          </w:p>
          <w:p>
            <w:pPr>
              <w:spacing w:line="240" w:lineRule="exact"/>
              <w:rPr>
                <w:rFonts w:ascii="宋体" w:hAnsi="宋体"/>
                <w:b w:val="0"/>
                <w:bCs/>
                <w:color w:val="auto"/>
                <w:sz w:val="21"/>
                <w:szCs w:val="21"/>
              </w:rPr>
            </w:pPr>
            <w:r>
              <w:rPr>
                <w:rFonts w:hint="eastAsia" w:ascii="宋体" w:hAnsi="宋体"/>
                <w:color w:val="auto"/>
                <w:sz w:val="21"/>
                <w:szCs w:val="21"/>
              </w:rPr>
              <w:t>消防栓、灭火器（干粉、水基）</w:t>
            </w:r>
            <w:r>
              <w:rPr>
                <w:rFonts w:hint="eastAsia" w:ascii="宋体" w:hAnsi="宋体"/>
                <w:color w:val="auto"/>
                <w:sz w:val="21"/>
                <w:szCs w:val="21"/>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val="0"/>
                <w:bCs/>
                <w:sz w:val="21"/>
                <w:szCs w:val="21"/>
              </w:rPr>
            </w:pPr>
            <w:r>
              <w:rPr>
                <w:rFonts w:ascii="宋体" w:hAnsi="宋体"/>
                <w:b w:val="0"/>
                <w:bCs/>
                <w:sz w:val="21"/>
                <w:szCs w:val="21"/>
              </w:rPr>
              <w:t>(</w:t>
            </w:r>
            <w:r>
              <w:rPr>
                <w:rFonts w:hint="eastAsia" w:ascii="宋体" w:hAnsi="宋体"/>
                <w:b w:val="0"/>
                <w:bCs/>
                <w:sz w:val="21"/>
                <w:szCs w:val="21"/>
              </w:rPr>
              <w:t>三</w:t>
            </w:r>
            <w:r>
              <w:rPr>
                <w:rFonts w:ascii="宋体" w:hAnsi="宋体"/>
                <w:b w:val="0"/>
                <w:bCs/>
                <w:sz w:val="21"/>
                <w:szCs w:val="21"/>
              </w:rPr>
              <w:t>)</w:t>
            </w:r>
            <w:r>
              <w:rPr>
                <w:rFonts w:hint="eastAsia" w:ascii="宋体" w:hAnsi="宋体"/>
                <w:b w:val="0"/>
                <w:bCs/>
                <w:sz w:val="21"/>
                <w:szCs w:val="21"/>
              </w:rPr>
              <w:t>体系运行情况</w:t>
            </w:r>
          </w:p>
        </w:tc>
        <w:tc>
          <w:tcPr>
            <w:tcW w:w="9198" w:type="dxa"/>
          </w:tcPr>
          <w:p>
            <w:pPr>
              <w:spacing w:line="300" w:lineRule="exact"/>
              <w:rPr>
                <w:rFonts w:ascii="宋体" w:hAnsi="宋体"/>
                <w:b w:val="0"/>
                <w:bCs/>
                <w:sz w:val="21"/>
                <w:szCs w:val="21"/>
              </w:rPr>
            </w:pPr>
            <w:r>
              <w:rPr>
                <w:rFonts w:ascii="宋体" w:hAnsi="宋体"/>
                <w:b w:val="0"/>
                <w:bCs/>
                <w:sz w:val="21"/>
                <w:szCs w:val="21"/>
              </w:rPr>
              <w:t xml:space="preserve">1. </w:t>
            </w:r>
            <w:r>
              <w:rPr>
                <w:rFonts w:hint="eastAsia" w:ascii="宋体" w:hAnsi="宋体"/>
                <w:b w:val="0"/>
                <w:bCs/>
                <w:sz w:val="21"/>
                <w:szCs w:val="21"/>
              </w:rPr>
              <w:t>针对方针的管理职责评审</w:t>
            </w:r>
          </w:p>
          <w:p>
            <w:pPr>
              <w:spacing w:line="300" w:lineRule="exact"/>
              <w:ind w:left="1"/>
              <w:rPr>
                <w:rFonts w:hint="eastAsia" w:ascii="宋体" w:hAnsi="宋体"/>
                <w:b w:val="0"/>
                <w:bCs/>
                <w:sz w:val="21"/>
                <w:szCs w:val="21"/>
              </w:rPr>
            </w:pPr>
            <w:r>
              <w:rPr>
                <w:rFonts w:hint="eastAsia" w:ascii="宋体" w:hAnsi="宋体"/>
                <w:b w:val="0"/>
                <w:bCs/>
                <w:sz w:val="21"/>
                <w:szCs w:val="21"/>
              </w:rPr>
              <w:t>（包括针对组织宗旨，制定相关管理方针政策、确保方针为员工理解并在运营中实施，监视方针的实施并评审方针的适宜性）</w:t>
            </w:r>
          </w:p>
          <w:p>
            <w:pPr>
              <w:rPr>
                <w:b w:val="0"/>
                <w:bCs/>
                <w:sz w:val="21"/>
                <w:szCs w:val="21"/>
              </w:rPr>
            </w:pPr>
            <w:r>
              <w:rPr>
                <w:rFonts w:hint="eastAsia"/>
                <w:b w:val="0"/>
                <w:bCs/>
                <w:sz w:val="21"/>
                <w:szCs w:val="21"/>
              </w:rPr>
              <w:t>企业管理方针：             诚信务实服务，提高顾客满意；</w:t>
            </w:r>
          </w:p>
          <w:p>
            <w:pPr>
              <w:ind w:firstLine="2835" w:firstLineChars="1350"/>
              <w:rPr>
                <w:b w:val="0"/>
                <w:bCs/>
                <w:sz w:val="21"/>
                <w:szCs w:val="21"/>
              </w:rPr>
            </w:pPr>
            <w:r>
              <w:rPr>
                <w:rFonts w:hint="eastAsia"/>
                <w:b w:val="0"/>
                <w:bCs/>
                <w:sz w:val="21"/>
                <w:szCs w:val="21"/>
              </w:rPr>
              <w:t>遵守法律法规，提高环保意识；</w:t>
            </w:r>
          </w:p>
          <w:p>
            <w:pPr>
              <w:ind w:firstLine="2835" w:firstLineChars="1350"/>
              <w:rPr>
                <w:b w:val="0"/>
                <w:bCs/>
                <w:sz w:val="21"/>
                <w:szCs w:val="21"/>
              </w:rPr>
            </w:pPr>
            <w:r>
              <w:rPr>
                <w:rFonts w:hint="eastAsia"/>
                <w:b w:val="0"/>
                <w:bCs/>
                <w:sz w:val="21"/>
                <w:szCs w:val="21"/>
              </w:rPr>
              <w:t>关爱员工健康，安全预防为主；</w:t>
            </w:r>
          </w:p>
          <w:p>
            <w:pPr>
              <w:ind w:firstLine="2835" w:firstLineChars="1350"/>
              <w:rPr>
                <w:b w:val="0"/>
                <w:bCs/>
                <w:sz w:val="21"/>
                <w:szCs w:val="21"/>
              </w:rPr>
            </w:pPr>
            <w:r>
              <w:rPr>
                <w:rFonts w:hint="eastAsia"/>
                <w:b w:val="0"/>
                <w:bCs/>
                <w:sz w:val="21"/>
                <w:szCs w:val="21"/>
              </w:rPr>
              <w:t>不断持续改进，永远追求卓越。</w:t>
            </w:r>
          </w:p>
          <w:p>
            <w:pPr>
              <w:rPr>
                <w:rFonts w:ascii="宋体" w:hAnsi="宋体"/>
                <w:b w:val="0"/>
                <w:bCs/>
                <w:sz w:val="21"/>
                <w:szCs w:val="21"/>
              </w:rPr>
            </w:pPr>
            <w:r>
              <w:rPr>
                <w:rFonts w:hint="eastAsia" w:ascii="宋体" w:hAnsi="宋体"/>
                <w:b w:val="0"/>
                <w:bCs/>
                <w:sz w:val="21"/>
                <w:szCs w:val="21"/>
              </w:rPr>
              <w:sym w:font="Wingdings 2" w:char="F098"/>
            </w:r>
            <w:r>
              <w:rPr>
                <w:rFonts w:hint="eastAsia" w:ascii="宋体" w:hAnsi="宋体"/>
                <w:b w:val="0"/>
                <w:bCs/>
                <w:sz w:val="21"/>
                <w:szCs w:val="21"/>
              </w:rPr>
              <w:t>方针在管理手册中予以规定，经总经理批准实施。</w:t>
            </w:r>
          </w:p>
          <w:p>
            <w:pPr>
              <w:spacing w:line="300" w:lineRule="exact"/>
              <w:ind w:left="1"/>
              <w:rPr>
                <w:rFonts w:ascii="宋体" w:hAnsi="宋体"/>
                <w:b w:val="0"/>
                <w:bCs/>
                <w:sz w:val="21"/>
                <w:szCs w:val="21"/>
              </w:rPr>
            </w:pPr>
            <w:r>
              <w:rPr>
                <w:rFonts w:hint="eastAsia" w:ascii="宋体" w:hAnsi="宋体"/>
                <w:b w:val="0"/>
                <w:bCs/>
                <w:sz w:val="21"/>
                <w:szCs w:val="21"/>
              </w:rPr>
              <w:sym w:font="Wingdings 2" w:char="F098"/>
            </w:r>
            <w:r>
              <w:rPr>
                <w:rFonts w:hint="eastAsia" w:ascii="宋体" w:hAnsi="宋体"/>
                <w:b w:val="0"/>
                <w:bCs/>
                <w:sz w:val="21"/>
                <w:szCs w:val="21"/>
              </w:rPr>
              <w:t>管理方针体现了标准的要求，包括：公司的宗旨和环境并支持其战略方向，为目标制定了框架，满足适用要求的承诺，持续改进质量管理体系的承诺，通过会议、文件、网络宣传等形式进行贯彻，可为相关方获取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val="0"/>
                <w:bCs/>
                <w:sz w:val="21"/>
                <w:szCs w:val="21"/>
              </w:rPr>
            </w:pPr>
          </w:p>
        </w:tc>
        <w:tc>
          <w:tcPr>
            <w:tcW w:w="9198" w:type="dxa"/>
          </w:tcPr>
          <w:p>
            <w:pPr>
              <w:keepNext w:val="0"/>
              <w:keepLines w:val="0"/>
              <w:numPr>
                <w:ilvl w:val="0"/>
                <w:numId w:val="3"/>
              </w:numPr>
              <w:suppressLineNumbers w:val="0"/>
              <w:tabs>
                <w:tab w:val="center" w:pos="3169"/>
              </w:tabs>
              <w:spacing w:before="0" w:beforeAutospacing="0" w:after="0" w:afterAutospacing="0" w:line="400" w:lineRule="exact"/>
              <w:ind w:left="0" w:right="0"/>
              <w:jc w:val="left"/>
              <w:rPr>
                <w:rFonts w:hint="eastAsia" w:ascii="宋体" w:hAnsi="宋体"/>
                <w:b w:val="0"/>
                <w:bCs/>
                <w:color w:val="auto"/>
                <w:sz w:val="21"/>
                <w:szCs w:val="21"/>
              </w:rPr>
            </w:pPr>
            <w:r>
              <w:rPr>
                <w:rFonts w:hint="eastAsia" w:ascii="宋体" w:hAnsi="宋体"/>
                <w:b w:val="0"/>
                <w:bCs/>
                <w:color w:val="auto"/>
                <w:sz w:val="21"/>
                <w:szCs w:val="21"/>
              </w:rPr>
              <w:t>组织内部沟通的充分性与效果</w:t>
            </w:r>
          </w:p>
          <w:p>
            <w:pPr>
              <w:keepNext w:val="0"/>
              <w:keepLines w:val="0"/>
              <w:numPr>
                <w:ilvl w:val="0"/>
                <w:numId w:val="0"/>
              </w:numPr>
              <w:suppressLineNumbers w:val="0"/>
              <w:tabs>
                <w:tab w:val="center" w:pos="3169"/>
              </w:tabs>
              <w:spacing w:before="0" w:beforeAutospacing="0" w:after="0" w:afterAutospacing="0" w:line="400" w:lineRule="exact"/>
              <w:ind w:right="0" w:rightChars="0" w:firstLine="420" w:firstLineChars="200"/>
              <w:jc w:val="left"/>
              <w:rPr>
                <w:rFonts w:hint="default" w:ascii="宋体" w:hAnsi="宋体" w:cs="宋体"/>
                <w:color w:val="auto"/>
                <w:sz w:val="21"/>
                <w:szCs w:val="21"/>
                <w:highlight w:val="none"/>
              </w:rPr>
            </w:pPr>
            <w:r>
              <w:rPr>
                <w:rFonts w:hint="eastAsia" w:ascii="宋体" w:hAnsi="宋体" w:cs="宋体"/>
                <w:color w:val="auto"/>
                <w:sz w:val="21"/>
                <w:szCs w:val="21"/>
                <w:highlight w:val="none"/>
                <w:lang w:val="en-US" w:eastAsia="zh-CN"/>
              </w:rPr>
              <w:t>管理手册</w:t>
            </w:r>
            <w:r>
              <w:rPr>
                <w:rFonts w:hint="eastAsia" w:ascii="宋体" w:hAnsi="宋体" w:cs="宋体"/>
                <w:color w:val="auto"/>
                <w:sz w:val="21"/>
                <w:szCs w:val="21"/>
                <w:highlight w:val="none"/>
              </w:rPr>
              <w:t>规定了公司内外信息交流、协商的对象、方式、记录等。</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color w:val="auto"/>
                <w:sz w:val="21"/>
                <w:szCs w:val="21"/>
                <w:highlight w:val="none"/>
              </w:rPr>
            </w:pPr>
            <w:r>
              <w:rPr>
                <w:rFonts w:hint="eastAsia" w:ascii="宋体" w:hAnsi="宋体" w:cs="宋体"/>
                <w:color w:val="auto"/>
                <w:sz w:val="21"/>
                <w:szCs w:val="21"/>
                <w:highlight w:val="none"/>
              </w:rPr>
              <w:t>对部门之间有需要交流的有关安全健康管理信息，在公司内部利用部门会议、宣传栏进行安全管理方针及目标、指标、管理方案及环保法律法规等内容的宣传、沟通。</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color w:val="auto"/>
                <w:sz w:val="21"/>
                <w:szCs w:val="21"/>
                <w:highlight w:val="none"/>
              </w:rPr>
            </w:pPr>
            <w:r>
              <w:rPr>
                <w:rFonts w:hint="eastAsia" w:ascii="宋体" w:hAnsi="宋体" w:cs="宋体"/>
                <w:color w:val="auto"/>
                <w:sz w:val="21"/>
                <w:szCs w:val="21"/>
                <w:highlight w:val="none"/>
              </w:rPr>
              <w:t xml:space="preserve">  公司员工参与协商，员工提出参与安全知识的学习和培训，需要发放劳保用品。</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color w:val="auto"/>
                <w:sz w:val="21"/>
                <w:szCs w:val="21"/>
                <w:highlight w:val="none"/>
              </w:rPr>
            </w:pPr>
            <w:r>
              <w:rPr>
                <w:rFonts w:hint="eastAsia" w:ascii="宋体" w:hAnsi="宋体" w:cs="宋体"/>
                <w:color w:val="auto"/>
                <w:sz w:val="21"/>
                <w:szCs w:val="21"/>
                <w:highlight w:val="none"/>
              </w:rPr>
              <w:t>查见内部交流主要通过直接面谈、会议、文件、培训方式，外部交流主要通过电话、信函方式。也可以通过工会等员工权益机构提出诉求。</w:t>
            </w:r>
          </w:p>
          <w:p>
            <w:pPr>
              <w:keepNext w:val="0"/>
              <w:keepLines w:val="0"/>
              <w:suppressLineNumbers w:val="0"/>
              <w:tabs>
                <w:tab w:val="center" w:pos="3169"/>
              </w:tabs>
              <w:spacing w:before="0" w:beforeAutospacing="0" w:after="0" w:afterAutospacing="0" w:line="400" w:lineRule="exact"/>
              <w:ind w:left="0" w:right="0" w:firstLine="420" w:firstLineChars="200"/>
              <w:jc w:val="left"/>
              <w:rPr>
                <w:rFonts w:hint="default" w:ascii="宋体" w:hAnsi="宋体" w:cs="宋体"/>
                <w:color w:val="auto"/>
                <w:sz w:val="21"/>
                <w:szCs w:val="21"/>
                <w:highlight w:val="none"/>
              </w:rPr>
            </w:pPr>
            <w:r>
              <w:rPr>
                <w:rFonts w:hint="eastAsia" w:ascii="宋体" w:hAnsi="宋体" w:cs="宋体"/>
                <w:color w:val="auto"/>
                <w:sz w:val="21"/>
                <w:szCs w:val="21"/>
                <w:highlight w:val="none"/>
              </w:rPr>
              <w:t>将环境管理、劳动保护要求、安全要求和意义作为新员工岗前培训内容。</w:t>
            </w:r>
          </w:p>
          <w:p>
            <w:pPr>
              <w:keepNext w:val="0"/>
              <w:keepLines w:val="0"/>
              <w:suppressLineNumbers w:val="0"/>
              <w:tabs>
                <w:tab w:val="center" w:pos="3169"/>
              </w:tabs>
              <w:spacing w:before="0" w:beforeAutospacing="0" w:after="0" w:afterAutospacing="0" w:line="400" w:lineRule="exact"/>
              <w:ind w:left="0" w:right="0" w:firstLine="420" w:firstLineChars="200"/>
              <w:jc w:val="left"/>
              <w:rPr>
                <w:rFonts w:hint="default" w:ascii="宋体" w:hAnsi="宋体" w:cs="宋体"/>
                <w:color w:val="auto"/>
                <w:sz w:val="21"/>
                <w:szCs w:val="21"/>
                <w:highlight w:val="none"/>
              </w:rPr>
            </w:pPr>
            <w:r>
              <w:rPr>
                <w:rFonts w:hint="eastAsia" w:ascii="宋体" w:hAnsi="宋体" w:cs="宋体"/>
                <w:color w:val="auto"/>
                <w:sz w:val="21"/>
                <w:szCs w:val="21"/>
                <w:highlight w:val="none"/>
              </w:rPr>
              <w:t>询问职业健康安全事务代表，了解到暂未发生员工与企业的劳动纠纷、工伤、员工投诉、员工权益争执等情况。</w:t>
            </w:r>
          </w:p>
          <w:p>
            <w:pPr>
              <w:spacing w:line="240" w:lineRule="exact"/>
              <w:rPr>
                <w:rFonts w:ascii="宋体" w:hAnsi="宋体"/>
                <w:b w:val="0"/>
                <w:bCs/>
                <w:sz w:val="21"/>
                <w:szCs w:val="21"/>
              </w:rPr>
            </w:pPr>
            <w:r>
              <w:rPr>
                <w:rFonts w:hint="eastAsia" w:ascii="宋体" w:hAnsi="宋体" w:cs="宋体"/>
                <w:color w:val="auto"/>
                <w:sz w:val="21"/>
                <w:szCs w:val="21"/>
                <w:highlight w:val="none"/>
              </w:rPr>
              <w:t>审核时未发现有相关方投诉等安全违规情况发生。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val="0"/>
                <w:bCs/>
                <w:sz w:val="21"/>
                <w:szCs w:val="21"/>
              </w:rPr>
            </w:pPr>
          </w:p>
        </w:tc>
        <w:tc>
          <w:tcPr>
            <w:tcW w:w="9198" w:type="dxa"/>
          </w:tcPr>
          <w:p>
            <w:pPr>
              <w:spacing w:line="240" w:lineRule="exact"/>
              <w:rPr>
                <w:rFonts w:ascii="宋体" w:hAnsi="宋体"/>
                <w:b w:val="0"/>
                <w:bCs/>
                <w:sz w:val="21"/>
                <w:szCs w:val="21"/>
              </w:rPr>
            </w:pPr>
            <w:r>
              <w:rPr>
                <w:rFonts w:ascii="宋体" w:hAnsi="宋体"/>
                <w:b w:val="0"/>
                <w:bCs/>
                <w:sz w:val="21"/>
                <w:szCs w:val="21"/>
              </w:rPr>
              <w:t xml:space="preserve">3.  QMS </w:t>
            </w:r>
            <w:r>
              <w:rPr>
                <w:rFonts w:hint="eastAsia" w:ascii="宋体" w:hAnsi="宋体"/>
                <w:b w:val="0"/>
                <w:bCs/>
                <w:sz w:val="21"/>
                <w:szCs w:val="21"/>
              </w:rPr>
              <w:t>组织对重要过程实施控制的结果</w:t>
            </w:r>
          </w:p>
          <w:p>
            <w:pPr>
              <w:spacing w:line="240" w:lineRule="exact"/>
              <w:ind w:left="206" w:leftChars="42" w:hanging="105" w:hangingChars="50"/>
              <w:rPr>
                <w:rFonts w:ascii="宋体" w:hAnsi="宋体"/>
                <w:b w:val="0"/>
                <w:bCs/>
                <w:sz w:val="21"/>
                <w:szCs w:val="21"/>
              </w:rPr>
            </w:pPr>
            <w:r>
              <w:rPr>
                <w:rFonts w:ascii="宋体" w:hAnsi="宋体"/>
                <w:b w:val="0"/>
                <w:bCs/>
                <w:sz w:val="21"/>
                <w:szCs w:val="21"/>
              </w:rPr>
              <w:t>(</w:t>
            </w:r>
            <w:r>
              <w:rPr>
                <w:rFonts w:hint="eastAsia" w:ascii="宋体" w:hAnsi="宋体"/>
                <w:b w:val="0"/>
                <w:bCs/>
                <w:sz w:val="21"/>
                <w:szCs w:val="21"/>
              </w:rPr>
              <w:t>包括对</w:t>
            </w:r>
            <w:r>
              <w:rPr>
                <w:rFonts w:ascii="宋体" w:hAnsi="宋体"/>
                <w:b w:val="0"/>
                <w:bCs/>
                <w:sz w:val="21"/>
                <w:szCs w:val="21"/>
              </w:rPr>
              <w:t>QMS</w:t>
            </w:r>
            <w:r>
              <w:rPr>
                <w:rFonts w:hint="eastAsia" w:ascii="宋体" w:hAnsi="宋体"/>
                <w:b w:val="0"/>
                <w:bCs/>
                <w:sz w:val="21"/>
                <w:szCs w:val="21"/>
              </w:rPr>
              <w:t>关键工序</w:t>
            </w:r>
            <w:r>
              <w:rPr>
                <w:rFonts w:ascii="宋体" w:hAnsi="宋体"/>
                <w:b w:val="0"/>
                <w:bCs/>
                <w:sz w:val="21"/>
                <w:szCs w:val="21"/>
              </w:rPr>
              <w:t>(</w:t>
            </w:r>
            <w:r>
              <w:rPr>
                <w:rFonts w:hint="eastAsia" w:ascii="宋体" w:hAnsi="宋体"/>
                <w:b w:val="0"/>
                <w:bCs/>
                <w:sz w:val="21"/>
                <w:szCs w:val="21"/>
              </w:rPr>
              <w:t>过程</w:t>
            </w:r>
            <w:r>
              <w:rPr>
                <w:rFonts w:ascii="宋体" w:hAnsi="宋体"/>
                <w:b w:val="0"/>
                <w:bCs/>
                <w:sz w:val="21"/>
                <w:szCs w:val="21"/>
              </w:rPr>
              <w:t>)</w:t>
            </w:r>
            <w:r>
              <w:rPr>
                <w:rFonts w:hint="eastAsia" w:ascii="宋体" w:hAnsi="宋体"/>
                <w:b w:val="0"/>
                <w:bCs/>
                <w:sz w:val="21"/>
                <w:szCs w:val="21"/>
              </w:rPr>
              <w:t>、特殊过程控制</w:t>
            </w:r>
            <w:r>
              <w:rPr>
                <w:rFonts w:ascii="宋体" w:hAnsi="宋体"/>
                <w:b w:val="0"/>
                <w:bCs/>
                <w:sz w:val="21"/>
                <w:szCs w:val="21"/>
              </w:rPr>
              <w:t>;</w:t>
            </w:r>
            <w:r>
              <w:rPr>
                <w:rFonts w:hint="eastAsia" w:ascii="宋体" w:hAnsi="宋体"/>
                <w:b w:val="0"/>
                <w:bCs/>
                <w:sz w:val="21"/>
                <w:szCs w:val="21"/>
              </w:rPr>
              <w:t>评价组织对过程实施控制情况</w:t>
            </w:r>
            <w:r>
              <w:rPr>
                <w:rFonts w:ascii="宋体" w:hAnsi="宋体"/>
                <w:b w:val="0"/>
                <w:bCs/>
                <w:sz w:val="21"/>
                <w:szCs w:val="21"/>
              </w:rPr>
              <w:t>/)</w:t>
            </w:r>
          </w:p>
          <w:p>
            <w:pPr>
              <w:pStyle w:val="15"/>
              <w:spacing w:line="360" w:lineRule="exact"/>
              <w:rPr>
                <w:rFonts w:ascii="宋体" w:hAnsi="宋体"/>
                <w:b w:val="0"/>
                <w:bCs/>
                <w:color w:val="auto"/>
                <w:kern w:val="2"/>
                <w:sz w:val="21"/>
                <w:szCs w:val="21"/>
              </w:rPr>
            </w:pPr>
            <w:r>
              <w:rPr>
                <w:rFonts w:hint="eastAsia" w:ascii="宋体" w:hAnsi="宋体"/>
                <w:b w:val="0"/>
                <w:bCs/>
                <w:color w:val="auto"/>
                <w:kern w:val="2"/>
                <w:sz w:val="21"/>
                <w:szCs w:val="21"/>
              </w:rPr>
              <w:sym w:font="Wingdings 2" w:char="F098"/>
            </w:r>
            <w:r>
              <w:rPr>
                <w:rFonts w:hint="eastAsia" w:ascii="宋体" w:hAnsi="宋体"/>
                <w:b w:val="0"/>
                <w:bCs/>
                <w:color w:val="auto"/>
                <w:kern w:val="2"/>
                <w:sz w:val="21"/>
                <w:szCs w:val="21"/>
              </w:rPr>
              <w:t xml:space="preserve">采购过程控制（包括外包过程）：首先编制进货检验规程等作业文件规定采购产品质量要求；其次对采购供方包括外包方进行了评价，保证采购产品/服务的质量符合公司要求，通过制定采购计划实施采购。经过抽查和询问采购过程控制符合要求。 </w:t>
            </w:r>
          </w:p>
          <w:p>
            <w:pPr>
              <w:pStyle w:val="15"/>
              <w:spacing w:line="360" w:lineRule="exact"/>
              <w:rPr>
                <w:rFonts w:ascii="宋体" w:hAnsi="宋体"/>
                <w:b w:val="0"/>
                <w:bCs/>
                <w:color w:val="auto"/>
                <w:kern w:val="2"/>
                <w:sz w:val="21"/>
                <w:szCs w:val="21"/>
              </w:rPr>
            </w:pPr>
            <w:r>
              <w:rPr>
                <w:rFonts w:hint="eastAsia" w:ascii="宋体" w:hAnsi="宋体"/>
                <w:b w:val="0"/>
                <w:bCs/>
                <w:color w:val="auto"/>
                <w:kern w:val="2"/>
                <w:sz w:val="21"/>
                <w:szCs w:val="21"/>
              </w:rPr>
              <w:sym w:font="Wingdings 2" w:char="F098"/>
            </w:r>
            <w:r>
              <w:rPr>
                <w:rFonts w:hint="eastAsia" w:ascii="宋体" w:hAnsi="宋体"/>
                <w:b w:val="0"/>
                <w:bCs/>
                <w:color w:val="auto"/>
                <w:kern w:val="2"/>
                <w:sz w:val="21"/>
                <w:szCs w:val="21"/>
              </w:rPr>
              <w:t>产品和服务的设计和开发：主要设计的</w:t>
            </w:r>
            <w:r>
              <w:rPr>
                <w:rFonts w:hint="eastAsia" w:ascii="Arial" w:hAnsi="Arial" w:cs="Arial"/>
                <w:b w:val="0"/>
                <w:bCs/>
                <w:sz w:val="21"/>
                <w:szCs w:val="21"/>
              </w:rPr>
              <w:t>项目为石墨烯纳米材料研发，提供了设计和</w:t>
            </w:r>
            <w:r>
              <w:rPr>
                <w:rFonts w:hint="eastAsia" w:ascii="宋体" w:hAnsi="宋体"/>
                <w:b w:val="0"/>
                <w:bCs/>
                <w:color w:val="auto"/>
                <w:kern w:val="2"/>
                <w:sz w:val="21"/>
                <w:szCs w:val="21"/>
              </w:rPr>
              <w:t>开发项目计划书、设计开发项目任务书、设计开发输出清单、设计开发输入及评审记录、设计开发输出及评审记录、设计开发确认记录、设计开发验证记录，现场审核发现设计开发资料基本符合要求。</w:t>
            </w:r>
          </w:p>
          <w:p>
            <w:pPr>
              <w:pStyle w:val="15"/>
              <w:spacing w:line="360" w:lineRule="exact"/>
              <w:rPr>
                <w:rFonts w:ascii="宋体" w:hAnsi="宋体"/>
                <w:b w:val="0"/>
                <w:bCs/>
                <w:color w:val="auto"/>
                <w:kern w:val="2"/>
                <w:sz w:val="21"/>
                <w:szCs w:val="21"/>
              </w:rPr>
            </w:pPr>
            <w:r>
              <w:rPr>
                <w:rFonts w:hint="eastAsia" w:ascii="宋体" w:hAnsi="宋体"/>
                <w:b w:val="0"/>
                <w:bCs/>
                <w:color w:val="auto"/>
                <w:kern w:val="2"/>
                <w:sz w:val="21"/>
                <w:szCs w:val="21"/>
              </w:rPr>
              <w:t>审核结论：产品的设计开发过程控制符合要求。</w:t>
            </w:r>
          </w:p>
          <w:p>
            <w:pPr>
              <w:rPr>
                <w:rFonts w:hint="eastAsia" w:ascii="宋体" w:hAnsi="宋体"/>
                <w:b w:val="0"/>
                <w:bCs/>
                <w:sz w:val="21"/>
                <w:szCs w:val="21"/>
                <w:lang w:val="en-GB"/>
              </w:rPr>
            </w:pPr>
            <w:r>
              <w:rPr>
                <w:rFonts w:hint="eastAsia" w:ascii="宋体" w:hAnsi="宋体"/>
                <w:b w:val="0"/>
                <w:bCs/>
                <w:sz w:val="21"/>
                <w:szCs w:val="21"/>
              </w:rPr>
              <w:sym w:font="Wingdings 2" w:char="F098"/>
            </w:r>
            <w:r>
              <w:rPr>
                <w:rFonts w:hint="eastAsia" w:ascii="宋体" w:hAnsi="宋体"/>
                <w:b w:val="0"/>
                <w:bCs/>
                <w:sz w:val="21"/>
                <w:szCs w:val="21"/>
              </w:rPr>
              <w:t>产品实现</w:t>
            </w:r>
            <w:r>
              <w:rPr>
                <w:rFonts w:hint="eastAsia" w:ascii="宋体" w:hAnsi="宋体"/>
                <w:b w:val="0"/>
                <w:bCs/>
                <w:sz w:val="21"/>
                <w:szCs w:val="21"/>
                <w:lang w:val="en-GB"/>
              </w:rPr>
              <w:t>过程控制：主要控制的过程有：</w:t>
            </w:r>
            <w:r>
              <w:rPr>
                <w:rFonts w:hint="eastAsia" w:ascii="Arial" w:hAnsi="Arial" w:cs="Arial"/>
                <w:b w:val="0"/>
                <w:bCs/>
                <w:color w:val="000000"/>
                <w:kern w:val="0"/>
                <w:sz w:val="21"/>
                <w:szCs w:val="21"/>
              </w:rPr>
              <w:t>石墨烯纳米材料研发</w:t>
            </w:r>
            <w:r>
              <w:rPr>
                <w:rFonts w:hint="eastAsia" w:ascii="Arial" w:hAnsi="Arial" w:cs="Arial"/>
                <w:b w:val="0"/>
                <w:bCs/>
                <w:sz w:val="21"/>
                <w:szCs w:val="21"/>
              </w:rPr>
              <w:t>，</w:t>
            </w:r>
            <w:r>
              <w:rPr>
                <w:rFonts w:hint="eastAsia" w:ascii="宋体" w:hAnsi="宋体"/>
                <w:b w:val="0"/>
                <w:bCs/>
                <w:sz w:val="21"/>
                <w:szCs w:val="21"/>
                <w:lang w:val="en-GB"/>
              </w:rPr>
              <w:t>制定了生产</w:t>
            </w:r>
            <w:r>
              <w:rPr>
                <w:rFonts w:hint="eastAsia" w:ascii="宋体" w:hAnsi="宋体"/>
                <w:b w:val="0"/>
                <w:bCs/>
                <w:sz w:val="21"/>
                <w:szCs w:val="21"/>
              </w:rPr>
              <w:t>设备管理制度、设备操作规程、作业指导书、成品检验规范等管理技术文件；配备了</w:t>
            </w:r>
            <w:r>
              <w:rPr>
                <w:rFonts w:hint="eastAsia" w:asciiTheme="majorEastAsia" w:hAnsiTheme="majorEastAsia" w:eastAsiaTheme="majorEastAsia"/>
                <w:b w:val="0"/>
                <w:bCs/>
                <w:sz w:val="21"/>
                <w:szCs w:val="21"/>
              </w:rPr>
              <w:t>办公、研发设施:</w:t>
            </w:r>
            <w:r>
              <w:rPr>
                <w:rFonts w:hint="eastAsia" w:ascii="宋体" w:hAnsi="宋体"/>
                <w:b w:val="0"/>
                <w:bCs/>
                <w:sz w:val="21"/>
                <w:szCs w:val="21"/>
              </w:rPr>
              <w:t xml:space="preserve"> 电脑（</w:t>
            </w:r>
            <w:r>
              <w:rPr>
                <w:rFonts w:ascii="宋体" w:hAnsi="宋体"/>
                <w:b w:val="0"/>
                <w:bCs/>
                <w:sz w:val="21"/>
                <w:szCs w:val="21"/>
              </w:rPr>
              <w:t xml:space="preserve"> All series</w:t>
            </w:r>
            <w:r>
              <w:rPr>
                <w:rFonts w:hint="eastAsia" w:ascii="宋体" w:hAnsi="宋体"/>
                <w:b w:val="0"/>
                <w:bCs/>
                <w:sz w:val="21"/>
                <w:szCs w:val="21"/>
              </w:rPr>
              <w:t xml:space="preserve"> ）9台/套 、</w:t>
            </w:r>
            <w:r>
              <w:rPr>
                <w:rFonts w:ascii="宋体" w:hAnsi="宋体" w:cs="Arial"/>
                <w:b w:val="0"/>
                <w:bCs/>
                <w:sz w:val="21"/>
                <w:szCs w:val="21"/>
              </w:rPr>
              <w:t>打印复印机</w:t>
            </w:r>
            <w:r>
              <w:rPr>
                <w:rFonts w:hint="eastAsia" w:ascii="宋体" w:hAnsi="宋体" w:cs="Arial"/>
                <w:b w:val="0"/>
                <w:bCs/>
                <w:sz w:val="21"/>
                <w:szCs w:val="21"/>
              </w:rPr>
              <w:t>、</w:t>
            </w:r>
            <w:r>
              <w:rPr>
                <w:rFonts w:ascii="宋体" w:hAnsi="宋体" w:cs="Arial"/>
                <w:b w:val="0"/>
                <w:bCs/>
                <w:sz w:val="21"/>
                <w:szCs w:val="21"/>
              </w:rPr>
              <w:t>扫描一体机、烧杯、容量瓶、量筒、水热反应釜等。</w:t>
            </w:r>
            <w:r>
              <w:rPr>
                <w:b w:val="0"/>
                <w:bCs/>
                <w:sz w:val="21"/>
                <w:szCs w:val="21"/>
              </w:rPr>
              <w:t>基本满足要求。</w:t>
            </w:r>
            <w:r>
              <w:rPr>
                <w:rFonts w:hint="eastAsia"/>
                <w:b w:val="0"/>
                <w:bCs/>
                <w:sz w:val="21"/>
                <w:szCs w:val="21"/>
              </w:rPr>
              <w:t>配备了监视和测量资源：</w:t>
            </w:r>
            <w:r>
              <w:rPr>
                <w:rFonts w:ascii="宋体" w:hAnsi="宋体"/>
                <w:b w:val="0"/>
                <w:bCs/>
                <w:sz w:val="21"/>
                <w:szCs w:val="21"/>
              </w:rPr>
              <w:t>研发、检验过程配备有检查表格和检验人员，编制了监视和测量规程，配备监视和测量设备</w:t>
            </w:r>
            <w:r>
              <w:rPr>
                <w:rFonts w:hint="eastAsia" w:ascii="宋体" w:hAnsi="宋体"/>
                <w:b w:val="0"/>
                <w:bCs/>
                <w:sz w:val="21"/>
                <w:szCs w:val="21"/>
              </w:rPr>
              <w:t>有：接地电阻测试仪、数显卡尺、压力表、耐压测试仪等。</w:t>
            </w:r>
          </w:p>
          <w:p>
            <w:pPr>
              <w:rPr>
                <w:rFonts w:ascii="宋体" w:hAnsi="宋体" w:cs="Arial"/>
                <w:b w:val="0"/>
                <w:bCs/>
                <w:sz w:val="21"/>
                <w:szCs w:val="21"/>
              </w:rPr>
            </w:pPr>
            <w:r>
              <w:rPr>
                <w:rFonts w:hint="eastAsia" w:ascii="宋体" w:hAnsi="宋体"/>
                <w:b w:val="0"/>
                <w:bCs/>
                <w:sz w:val="21"/>
                <w:szCs w:val="21"/>
                <w:lang w:val="en-GB"/>
              </w:rPr>
              <w:t>远程审核查看各工序均按照要求进行操作，审核结论：</w:t>
            </w:r>
            <w:r>
              <w:rPr>
                <w:rFonts w:hint="eastAsia" w:ascii="宋体" w:hAnsi="宋体"/>
                <w:b w:val="0"/>
                <w:bCs/>
                <w:sz w:val="21"/>
                <w:szCs w:val="21"/>
              </w:rPr>
              <w:t>生产过程控制符合要求</w:t>
            </w:r>
            <w:r>
              <w:rPr>
                <w:rFonts w:hint="eastAsia" w:ascii="宋体" w:hAnsi="宋体"/>
                <w:b w:val="0"/>
                <w:bCs/>
                <w:sz w:val="21"/>
                <w:szCs w:val="21"/>
                <w:lang w:val="en-GB"/>
              </w:rPr>
              <w:t>。</w:t>
            </w:r>
          </w:p>
          <w:p>
            <w:pPr>
              <w:rPr>
                <w:rFonts w:ascii="宋体" w:hAnsi="宋体"/>
                <w:b w:val="0"/>
                <w:bCs/>
                <w:sz w:val="21"/>
                <w:szCs w:val="21"/>
                <w:lang w:val="en-GB"/>
              </w:rPr>
            </w:pPr>
            <w:r>
              <w:rPr>
                <w:rFonts w:hint="eastAsia" w:ascii="宋体" w:hAnsi="宋体"/>
                <w:b w:val="0"/>
                <w:bCs/>
                <w:sz w:val="21"/>
                <w:szCs w:val="21"/>
                <w:lang w:val="en-GB"/>
              </w:rPr>
              <w:sym w:font="Wingdings 2" w:char="F098"/>
            </w:r>
            <w:r>
              <w:rPr>
                <w:rFonts w:hint="eastAsia" w:ascii="宋体" w:hAnsi="宋体"/>
                <w:b w:val="0"/>
                <w:bCs/>
                <w:sz w:val="21"/>
                <w:szCs w:val="21"/>
                <w:lang w:val="en-GB"/>
              </w:rPr>
              <w:t>产品检验：分为原材料、过程及成品检验，原材料采取进货验证，概要设计、详细设计采取随工序检验；研发产品进行设计评审、设计验证、设计确认。</w:t>
            </w:r>
          </w:p>
          <w:p>
            <w:pPr>
              <w:ind w:firstLine="411" w:firstLineChars="196"/>
              <w:rPr>
                <w:rFonts w:ascii="宋体" w:hAnsi="宋体"/>
                <w:b w:val="0"/>
                <w:bCs/>
                <w:sz w:val="21"/>
                <w:szCs w:val="21"/>
                <w:lang w:val="en-GB"/>
              </w:rPr>
            </w:pPr>
            <w:r>
              <w:rPr>
                <w:rFonts w:hint="eastAsia" w:ascii="宋体" w:hAnsi="宋体"/>
                <w:b w:val="0"/>
                <w:bCs/>
                <w:sz w:val="21"/>
                <w:szCs w:val="21"/>
                <w:lang w:val="en-GB"/>
              </w:rPr>
              <w:t>原材料主要验证项目：有</w:t>
            </w:r>
            <w:r>
              <w:rPr>
                <w:rFonts w:hint="eastAsia" w:ascii="宋体" w:hAnsi="宋体"/>
                <w:b w:val="0"/>
                <w:bCs/>
                <w:sz w:val="21"/>
                <w:szCs w:val="21"/>
              </w:rPr>
              <w:t>数量/外观/性能/材质单，原材料检验验证过程控制符合要求</w:t>
            </w:r>
          </w:p>
          <w:p>
            <w:pPr>
              <w:ind w:firstLine="411" w:firstLineChars="196"/>
              <w:rPr>
                <w:rFonts w:ascii="宋体" w:hAnsi="宋体"/>
                <w:b w:val="0"/>
                <w:bCs/>
                <w:sz w:val="21"/>
                <w:szCs w:val="21"/>
              </w:rPr>
            </w:pPr>
            <w:r>
              <w:rPr>
                <w:rFonts w:hint="eastAsia" w:ascii="宋体" w:hAnsi="宋体"/>
                <w:b w:val="0"/>
                <w:bCs/>
                <w:sz w:val="21"/>
                <w:szCs w:val="21"/>
                <w:lang w:val="en-GB"/>
              </w:rPr>
              <w:t>过程、成品检验：检验</w:t>
            </w:r>
            <w:r>
              <w:rPr>
                <w:rFonts w:hint="eastAsia" w:ascii="宋体" w:hAnsi="宋体"/>
                <w:b w:val="0"/>
                <w:bCs/>
                <w:sz w:val="21"/>
                <w:szCs w:val="21"/>
              </w:rPr>
              <w:t>项目有：性能可行性 、功能可行性 、结构合理性、可检验性、美观性、安全性</w:t>
            </w:r>
            <w:r>
              <w:rPr>
                <w:rFonts w:hint="eastAsia" w:ascii="宋体" w:hAnsi="宋体"/>
                <w:b w:val="0"/>
                <w:bCs/>
                <w:sz w:val="21"/>
                <w:szCs w:val="21"/>
                <w:lang w:val="zh-CN"/>
              </w:rPr>
              <w:t>等</w:t>
            </w:r>
            <w:r>
              <w:rPr>
                <w:rFonts w:hint="eastAsia" w:ascii="宋体" w:hAnsi="宋体"/>
                <w:b w:val="0"/>
                <w:bCs/>
                <w:sz w:val="21"/>
                <w:szCs w:val="21"/>
              </w:rPr>
              <w:t>。提供原材料、半成品(工序)、产品检验记录。审核结论：研发产品的监视和测量符合要求。</w:t>
            </w:r>
          </w:p>
          <w:p>
            <w:pPr>
              <w:spacing w:line="240" w:lineRule="exact"/>
              <w:rPr>
                <w:rFonts w:ascii="宋体" w:hAnsi="宋体"/>
                <w:b w:val="0"/>
                <w:bCs/>
                <w:sz w:val="21"/>
                <w:szCs w:val="21"/>
              </w:rPr>
            </w:pPr>
            <w:r>
              <w:rPr>
                <w:rFonts w:hint="eastAsia"/>
                <w:b w:val="0"/>
                <w:bCs/>
                <w:sz w:val="21"/>
                <w:szCs w:val="21"/>
                <w:lang w:val="en-GB"/>
              </w:rPr>
              <w:sym w:font="Wingdings 2" w:char="F098"/>
            </w:r>
            <w:r>
              <w:rPr>
                <w:rFonts w:hint="eastAsia"/>
                <w:b w:val="0"/>
                <w:bCs/>
                <w:sz w:val="21"/>
                <w:szCs w:val="21"/>
                <w:lang w:val="en-GB"/>
              </w:rPr>
              <w:t>销售服务过程：</w:t>
            </w:r>
            <w:r>
              <w:rPr>
                <w:rFonts w:hint="eastAsia"/>
                <w:b w:val="0"/>
                <w:bCs/>
                <w:sz w:val="21"/>
                <w:szCs w:val="21"/>
              </w:rPr>
              <w:t>公司主要</w:t>
            </w:r>
            <w:r>
              <w:rPr>
                <w:rFonts w:hint="eastAsia" w:ascii="Arial" w:hAnsi="Arial" w:cs="Arial"/>
                <w:b w:val="0"/>
                <w:bCs/>
                <w:color w:val="000000"/>
                <w:kern w:val="0"/>
                <w:sz w:val="21"/>
                <w:szCs w:val="21"/>
              </w:rPr>
              <w:t>纳米材料、锅炉及辅助设备、家用电热取暖器具销售服务</w:t>
            </w:r>
            <w:r>
              <w:rPr>
                <w:rFonts w:hint="eastAsia"/>
                <w:b w:val="0"/>
                <w:bCs/>
                <w:sz w:val="21"/>
                <w:szCs w:val="21"/>
              </w:rPr>
              <w:t>等，且按照国家、行业相关标准、顾客要求进行研发、加工生产，与产品有关的要求主要体现在标书、合同及相关法律法规及标准中的要求进行销售。一般通过电话、老客户介绍、招投标等方式进行销售服务。在签订正式合同前，由总经理组织进行合同评审，签订合同后，组织生产及时与客户沟通，按时交付。收集顾客对产品的反馈信息，开展顾客满意度调查，包括顾客抱怨和投诉。经查过程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val="0"/>
                <w:bCs/>
                <w:sz w:val="21"/>
                <w:szCs w:val="21"/>
              </w:rPr>
            </w:pPr>
          </w:p>
        </w:tc>
        <w:tc>
          <w:tcPr>
            <w:tcW w:w="9198" w:type="dxa"/>
          </w:tcPr>
          <w:p>
            <w:pPr>
              <w:spacing w:line="300" w:lineRule="exact"/>
              <w:jc w:val="left"/>
              <w:rPr>
                <w:rFonts w:ascii="宋体" w:hAnsi="宋体"/>
                <w:b w:val="0"/>
                <w:bCs/>
                <w:sz w:val="21"/>
                <w:szCs w:val="21"/>
              </w:rPr>
            </w:pPr>
            <w:r>
              <w:rPr>
                <w:rFonts w:ascii="宋体" w:hAnsi="宋体"/>
                <w:b w:val="0"/>
                <w:bCs/>
                <w:sz w:val="21"/>
                <w:szCs w:val="21"/>
              </w:rPr>
              <w:t>4.QMS</w:t>
            </w:r>
            <w:r>
              <w:rPr>
                <w:rFonts w:hint="eastAsia" w:ascii="宋体" w:hAnsi="宋体"/>
                <w:b w:val="0"/>
                <w:bCs/>
                <w:sz w:val="21"/>
                <w:szCs w:val="21"/>
              </w:rPr>
              <w:t>/□50430产品</w:t>
            </w:r>
            <w:r>
              <w:rPr>
                <w:rFonts w:ascii="宋体" w:hAnsi="宋体"/>
                <w:b w:val="0"/>
                <w:bCs/>
                <w:sz w:val="21"/>
                <w:szCs w:val="21"/>
              </w:rPr>
              <w:t>/</w:t>
            </w:r>
            <w:r>
              <w:rPr>
                <w:rFonts w:hint="eastAsia" w:ascii="宋体" w:hAnsi="宋体"/>
                <w:b w:val="0"/>
                <w:bCs/>
                <w:sz w:val="21"/>
                <w:szCs w:val="21"/>
              </w:rPr>
              <w:t>服务的标准、协议</w:t>
            </w:r>
            <w:r>
              <w:rPr>
                <w:rFonts w:ascii="宋体" w:hAnsi="宋体"/>
                <w:b w:val="0"/>
                <w:bCs/>
                <w:sz w:val="21"/>
                <w:szCs w:val="21"/>
              </w:rPr>
              <w:t>/</w:t>
            </w:r>
            <w:r>
              <w:rPr>
                <w:rFonts w:hint="eastAsia" w:ascii="宋体" w:hAnsi="宋体"/>
                <w:b w:val="0"/>
                <w:bCs/>
                <w:sz w:val="21"/>
                <w:szCs w:val="21"/>
              </w:rPr>
              <w:t>规范的有效性以及产品</w:t>
            </w:r>
            <w:r>
              <w:rPr>
                <w:rFonts w:ascii="宋体" w:hAnsi="宋体"/>
                <w:b w:val="0"/>
                <w:bCs/>
                <w:sz w:val="21"/>
                <w:szCs w:val="21"/>
              </w:rPr>
              <w:t>/</w:t>
            </w:r>
            <w:r>
              <w:rPr>
                <w:rFonts w:hint="eastAsia" w:ascii="宋体" w:hAnsi="宋体"/>
                <w:b w:val="0"/>
                <w:bCs/>
                <w:sz w:val="21"/>
                <w:szCs w:val="21"/>
              </w:rPr>
              <w:t>服务质量符合要求，向顾客稳定提供合格产品的情况；</w:t>
            </w:r>
          </w:p>
          <w:p>
            <w:pPr>
              <w:rPr>
                <w:rFonts w:ascii="宋体" w:hAnsi="宋体"/>
                <w:b w:val="0"/>
                <w:bCs/>
                <w:sz w:val="21"/>
                <w:szCs w:val="21"/>
              </w:rPr>
            </w:pPr>
            <w:r>
              <w:rPr>
                <w:rFonts w:hint="eastAsia" w:ascii="宋体" w:hAnsi="宋体"/>
                <w:b w:val="0"/>
                <w:bCs/>
                <w:sz w:val="21"/>
                <w:szCs w:val="21"/>
              </w:rPr>
              <w:t>主要满足</w:t>
            </w:r>
            <w:r>
              <w:rPr>
                <w:rFonts w:hint="eastAsia" w:asciiTheme="minorEastAsia" w:hAnsiTheme="minorEastAsia" w:eastAsiaTheme="minorEastAsia" w:cstheme="minorEastAsia"/>
                <w:b w:val="0"/>
                <w:bCs/>
                <w:sz w:val="21"/>
                <w:szCs w:val="21"/>
              </w:rPr>
              <w:t>国家标准、行业标准：</w:t>
            </w:r>
            <w:r>
              <w:rPr>
                <w:rFonts w:hint="eastAsia" w:ascii="宋体" w:hAnsi="宋体"/>
                <w:b w:val="0"/>
                <w:bCs/>
                <w:sz w:val="21"/>
                <w:szCs w:val="21"/>
              </w:rPr>
              <w:t>《家用和类似用途电器的安全 第1部分：通用要求》GB4706.1－2005、《家用和类似用途电器的安全 快热式热水器的特殊要求》GB4706.11-2008、</w:t>
            </w:r>
          </w:p>
          <w:p>
            <w:pPr>
              <w:rPr>
                <w:rFonts w:hint="eastAsia" w:ascii="宋体" w:hAnsi="宋体"/>
                <w:b w:val="0"/>
                <w:bCs/>
                <w:sz w:val="21"/>
                <w:szCs w:val="21"/>
              </w:rPr>
            </w:pPr>
            <w:r>
              <w:rPr>
                <w:rFonts w:hint="eastAsia" w:ascii="宋体" w:hAnsi="宋体"/>
                <w:b w:val="0"/>
                <w:bCs/>
                <w:sz w:val="21"/>
                <w:szCs w:val="21"/>
              </w:rPr>
              <w:t>《消费品使用说明家电和类似用途电器的使用》GB5296.2－2008、《快热式热水器》GB/T26185－2010、</w:t>
            </w:r>
            <w:r>
              <w:rPr>
                <w:rFonts w:ascii="宋体" w:hAnsi="宋体"/>
                <w:b w:val="0"/>
                <w:bCs/>
                <w:sz w:val="21"/>
                <w:szCs w:val="21"/>
              </w:rPr>
              <w:t>DB13/T 2768.4-</w:t>
            </w:r>
            <w:r>
              <w:rPr>
                <w:rFonts w:hint="eastAsia" w:ascii="宋体" w:hAnsi="宋体"/>
                <w:b w:val="0"/>
                <w:bCs/>
                <w:sz w:val="21"/>
                <w:szCs w:val="21"/>
              </w:rPr>
              <w:t xml:space="preserve">2019 </w:t>
            </w:r>
            <w:r>
              <w:rPr>
                <w:rFonts w:ascii="宋体" w:hAnsi="宋体"/>
                <w:b w:val="0"/>
                <w:bCs/>
                <w:sz w:val="21"/>
                <w:szCs w:val="21"/>
              </w:rPr>
              <w:t>石墨烯粉体材料检测方法 第4部分：比表面积、孔容和孔径的测定 BET法</w:t>
            </w:r>
            <w:r>
              <w:rPr>
                <w:rFonts w:hint="eastAsia" w:ascii="宋体" w:hAnsi="宋体"/>
                <w:b w:val="0"/>
                <w:bCs/>
                <w:sz w:val="21"/>
                <w:szCs w:val="21"/>
              </w:rPr>
              <w:t>及客户要求。</w:t>
            </w:r>
          </w:p>
          <w:p>
            <w:pPr>
              <w:rPr>
                <w:rFonts w:ascii="宋体" w:hAnsi="宋体"/>
                <w:b w:val="0"/>
                <w:bCs/>
                <w:sz w:val="21"/>
                <w:szCs w:val="21"/>
              </w:rPr>
            </w:pPr>
            <w:r>
              <w:rPr>
                <w:rFonts w:hint="eastAsia" w:ascii="宋体" w:hAnsi="宋体"/>
                <w:b w:val="0"/>
                <w:bCs/>
                <w:sz w:val="21"/>
                <w:szCs w:val="21"/>
              </w:rPr>
              <w:t>目前向顾客提供的产品均合格，提供有产品检验记录、客户验收记录。</w:t>
            </w:r>
          </w:p>
          <w:p>
            <w:pPr>
              <w:spacing w:line="240" w:lineRule="exact"/>
              <w:rPr>
                <w:rFonts w:ascii="宋体" w:hAnsi="宋体"/>
                <w:b w:val="0"/>
                <w:bCs/>
                <w:sz w:val="21"/>
                <w:szCs w:val="21"/>
              </w:rPr>
            </w:pPr>
            <w:r>
              <w:rPr>
                <w:rFonts w:ascii="宋体" w:hAnsi="宋体"/>
                <w:b w:val="0"/>
                <w:bCs/>
                <w:sz w:val="21"/>
                <w:szCs w:val="21"/>
              </w:rPr>
              <w:t>(</w:t>
            </w:r>
            <w:r>
              <w:rPr>
                <w:rFonts w:hint="eastAsia" w:ascii="宋体" w:hAnsi="宋体"/>
                <w:b w:val="0"/>
                <w:bCs/>
                <w:sz w:val="21"/>
                <w:szCs w:val="21"/>
              </w:rPr>
              <w:t>应说明相关证据</w:t>
            </w:r>
            <w:r>
              <w:rPr>
                <w:rFonts w:ascii="宋体" w:hAnsi="宋体"/>
                <w:b w:val="0"/>
                <w:bCs/>
                <w:sz w:val="21"/>
                <w:szCs w:val="21"/>
              </w:rPr>
              <w:t>)</w:t>
            </w:r>
            <w:r>
              <w:rPr>
                <w:rFonts w:hint="eastAsia" w:ascii="宋体" w:hAnsi="宋体"/>
                <w:b w:val="0"/>
                <w:bCs/>
                <w:sz w:val="21"/>
                <w:szCs w:val="21"/>
              </w:rPr>
              <w:t>：</w:t>
            </w:r>
          </w:p>
          <w:p>
            <w:pPr>
              <w:spacing w:line="240" w:lineRule="exact"/>
              <w:rPr>
                <w:rFonts w:ascii="宋体" w:hAnsi="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val="0"/>
                <w:bCs/>
                <w:sz w:val="21"/>
                <w:szCs w:val="21"/>
              </w:rPr>
            </w:pPr>
          </w:p>
        </w:tc>
        <w:tc>
          <w:tcPr>
            <w:tcW w:w="9198" w:type="dxa"/>
          </w:tcPr>
          <w:p>
            <w:pPr>
              <w:spacing w:line="240" w:lineRule="exact"/>
              <w:rPr>
                <w:rFonts w:ascii="宋体" w:hAnsi="宋体"/>
                <w:b w:val="0"/>
                <w:bCs/>
                <w:sz w:val="21"/>
                <w:szCs w:val="21"/>
              </w:rPr>
            </w:pPr>
            <w:r>
              <w:rPr>
                <w:rFonts w:ascii="宋体" w:hAnsi="宋体"/>
                <w:b w:val="0"/>
                <w:bCs/>
                <w:sz w:val="21"/>
                <w:szCs w:val="21"/>
              </w:rPr>
              <w:t>5 .QMS</w:t>
            </w:r>
            <w:r>
              <w:rPr>
                <w:rFonts w:hint="eastAsia" w:ascii="宋体" w:hAnsi="宋体"/>
                <w:b w:val="0"/>
                <w:bCs/>
                <w:sz w:val="21"/>
                <w:szCs w:val="21"/>
              </w:rPr>
              <w:t>国家</w:t>
            </w:r>
            <w:r>
              <w:rPr>
                <w:rFonts w:ascii="宋体" w:hAnsi="宋体"/>
                <w:b w:val="0"/>
                <w:bCs/>
                <w:sz w:val="21"/>
                <w:szCs w:val="21"/>
              </w:rPr>
              <w:t>/</w:t>
            </w:r>
            <w:r>
              <w:rPr>
                <w:rFonts w:hint="eastAsia" w:ascii="宋体" w:hAnsi="宋体"/>
                <w:b w:val="0"/>
                <w:bCs/>
                <w:sz w:val="21"/>
                <w:szCs w:val="21"/>
              </w:rPr>
              <w:t>地方技术监督部门监测（检测、委托检测、定期监测、型式试验等）、抽查结果</w:t>
            </w:r>
          </w:p>
          <w:p>
            <w:pPr>
              <w:rPr>
                <w:b w:val="0"/>
                <w:bCs/>
                <w:color w:val="000000"/>
                <w:sz w:val="21"/>
                <w:szCs w:val="21"/>
              </w:rPr>
            </w:pPr>
            <w:r>
              <w:rPr>
                <w:rFonts w:hint="eastAsia"/>
                <w:b w:val="0"/>
                <w:bCs/>
                <w:color w:val="000000"/>
                <w:sz w:val="21"/>
                <w:szCs w:val="21"/>
              </w:rPr>
              <w:t>企业提供了第三方检验报告：</w:t>
            </w:r>
          </w:p>
          <w:p>
            <w:pPr>
              <w:pStyle w:val="13"/>
              <w:numPr>
                <w:ilvl w:val="0"/>
                <w:numId w:val="4"/>
              </w:numPr>
              <w:ind w:firstLineChars="0"/>
              <w:rPr>
                <w:b w:val="0"/>
                <w:bCs/>
                <w:color w:val="000000"/>
                <w:sz w:val="21"/>
                <w:szCs w:val="21"/>
              </w:rPr>
            </w:pPr>
            <w:r>
              <w:rPr>
                <w:rFonts w:hint="eastAsia"/>
                <w:b w:val="0"/>
                <w:bCs/>
                <w:color w:val="000000"/>
                <w:sz w:val="21"/>
                <w:szCs w:val="21"/>
              </w:rPr>
              <w:t>检测机构：威凯检测技术有限公司</w:t>
            </w:r>
          </w:p>
          <w:p>
            <w:pPr>
              <w:pStyle w:val="13"/>
              <w:numPr>
                <w:ilvl w:val="0"/>
                <w:numId w:val="4"/>
              </w:numPr>
              <w:ind w:firstLineChars="0"/>
              <w:rPr>
                <w:b w:val="0"/>
                <w:bCs/>
                <w:color w:val="000000"/>
                <w:sz w:val="21"/>
                <w:szCs w:val="21"/>
              </w:rPr>
            </w:pPr>
            <w:r>
              <w:rPr>
                <w:rFonts w:hint="eastAsia"/>
                <w:b w:val="0"/>
                <w:bCs/>
                <w:color w:val="000000"/>
                <w:sz w:val="21"/>
                <w:szCs w:val="21"/>
              </w:rPr>
              <w:t>检测日期：2019.11.22-2019.12.19</w:t>
            </w:r>
          </w:p>
          <w:p>
            <w:pPr>
              <w:pStyle w:val="13"/>
              <w:numPr>
                <w:ilvl w:val="0"/>
                <w:numId w:val="4"/>
              </w:numPr>
              <w:ind w:firstLineChars="0"/>
              <w:rPr>
                <w:b w:val="0"/>
                <w:bCs/>
                <w:color w:val="000000"/>
                <w:sz w:val="21"/>
                <w:szCs w:val="21"/>
              </w:rPr>
            </w:pPr>
            <w:r>
              <w:rPr>
                <w:rFonts w:hint="eastAsia"/>
                <w:b w:val="0"/>
                <w:bCs/>
                <w:color w:val="000000"/>
                <w:sz w:val="21"/>
                <w:szCs w:val="21"/>
              </w:rPr>
              <w:t>产品名称：快热式电热水器（电锅炉）型号BX60</w:t>
            </w:r>
          </w:p>
          <w:p>
            <w:pPr>
              <w:pStyle w:val="13"/>
              <w:numPr>
                <w:ilvl w:val="0"/>
                <w:numId w:val="4"/>
              </w:numPr>
              <w:ind w:firstLineChars="0"/>
              <w:rPr>
                <w:b w:val="0"/>
                <w:bCs/>
                <w:color w:val="000000"/>
                <w:sz w:val="21"/>
                <w:szCs w:val="21"/>
              </w:rPr>
            </w:pPr>
            <w:r>
              <w:rPr>
                <w:rFonts w:hint="eastAsia"/>
                <w:b w:val="0"/>
                <w:bCs/>
                <w:color w:val="000000"/>
                <w:sz w:val="21"/>
                <w:szCs w:val="21"/>
              </w:rPr>
              <w:t>报告编号：WTS2019-21357</w:t>
            </w:r>
          </w:p>
          <w:p>
            <w:pPr>
              <w:pStyle w:val="13"/>
              <w:numPr>
                <w:ilvl w:val="0"/>
                <w:numId w:val="4"/>
              </w:numPr>
              <w:ind w:firstLineChars="0"/>
              <w:rPr>
                <w:b w:val="0"/>
                <w:bCs/>
                <w:color w:val="000000"/>
                <w:sz w:val="21"/>
                <w:szCs w:val="21"/>
              </w:rPr>
            </w:pPr>
            <w:r>
              <w:rPr>
                <w:rFonts w:hint="eastAsia"/>
                <w:b w:val="0"/>
                <w:bCs/>
                <w:color w:val="000000"/>
                <w:sz w:val="21"/>
                <w:szCs w:val="21"/>
              </w:rPr>
              <w:t>检验结论：符合要求</w:t>
            </w:r>
          </w:p>
          <w:p>
            <w:pPr>
              <w:pStyle w:val="13"/>
              <w:numPr>
                <w:ilvl w:val="0"/>
                <w:numId w:val="4"/>
              </w:numPr>
              <w:ind w:firstLineChars="0"/>
              <w:rPr>
                <w:b w:val="0"/>
                <w:bCs/>
                <w:color w:val="000000"/>
                <w:sz w:val="21"/>
                <w:szCs w:val="21"/>
              </w:rPr>
            </w:pPr>
            <w:r>
              <w:rPr>
                <w:rFonts w:hint="eastAsia"/>
                <w:b w:val="0"/>
                <w:bCs/>
                <w:color w:val="000000"/>
                <w:sz w:val="21"/>
                <w:szCs w:val="21"/>
              </w:rPr>
              <w:t>其余详见：检测报告复印件</w:t>
            </w:r>
          </w:p>
          <w:p>
            <w:pPr>
              <w:spacing w:line="300" w:lineRule="exact"/>
              <w:ind w:firstLine="205" w:firstLineChars="98"/>
              <w:rPr>
                <w:rFonts w:ascii="宋体" w:hAnsi="宋体"/>
                <w:b w:val="0"/>
                <w:bCs/>
                <w:sz w:val="21"/>
                <w:szCs w:val="21"/>
              </w:rPr>
            </w:pPr>
            <w:r>
              <w:rPr>
                <w:rFonts w:hint="eastAsia" w:ascii="宋体" w:hAnsi="宋体"/>
                <w:b w:val="0"/>
                <w:bCs/>
                <w:sz w:val="21"/>
                <w:szCs w:val="21"/>
              </w:rPr>
              <w:t>（附相关证据）：</w:t>
            </w:r>
          </w:p>
          <w:p>
            <w:pPr>
              <w:spacing w:line="300" w:lineRule="exact"/>
              <w:jc w:val="left"/>
              <w:rPr>
                <w:rFonts w:ascii="宋体" w:hAnsi="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0" w:hRule="atLeast"/>
          <w:jc w:val="center"/>
        </w:trPr>
        <w:tc>
          <w:tcPr>
            <w:tcW w:w="720" w:type="dxa"/>
            <w:vMerge w:val="continue"/>
            <w:vAlign w:val="center"/>
          </w:tcPr>
          <w:p>
            <w:pPr>
              <w:spacing w:line="240" w:lineRule="exact"/>
              <w:jc w:val="center"/>
              <w:rPr>
                <w:b w:val="0"/>
                <w:bCs/>
                <w:sz w:val="21"/>
                <w:szCs w:val="21"/>
              </w:rPr>
            </w:pPr>
          </w:p>
        </w:tc>
        <w:tc>
          <w:tcPr>
            <w:tcW w:w="9198" w:type="dxa"/>
          </w:tcPr>
          <w:p>
            <w:pPr>
              <w:spacing w:line="240" w:lineRule="exact"/>
              <w:rPr>
                <w:rFonts w:ascii="宋体" w:hAnsi="宋体"/>
                <w:b w:val="0"/>
                <w:bCs/>
                <w:sz w:val="21"/>
                <w:szCs w:val="21"/>
              </w:rPr>
            </w:pPr>
            <w:r>
              <w:rPr>
                <w:rFonts w:ascii="宋体" w:hAnsi="宋体"/>
                <w:b w:val="0"/>
                <w:bCs/>
                <w:sz w:val="21"/>
                <w:szCs w:val="21"/>
              </w:rPr>
              <w:t xml:space="preserve">6. </w:t>
            </w:r>
            <w:r>
              <w:rPr>
                <w:rFonts w:hint="eastAsia" w:ascii="宋体" w:hAnsi="宋体"/>
                <w:b w:val="0"/>
                <w:bCs/>
                <w:sz w:val="21"/>
                <w:szCs w:val="21"/>
              </w:rPr>
              <w:t>不合格品</w:t>
            </w:r>
            <w:r>
              <w:rPr>
                <w:rFonts w:ascii="宋体" w:hAnsi="宋体"/>
                <w:b w:val="0"/>
                <w:bCs/>
                <w:sz w:val="21"/>
                <w:szCs w:val="21"/>
              </w:rPr>
              <w:t>/</w:t>
            </w:r>
            <w:r>
              <w:rPr>
                <w:rFonts w:hint="eastAsia" w:ascii="宋体" w:hAnsi="宋体"/>
                <w:b w:val="0"/>
                <w:bCs/>
                <w:sz w:val="21"/>
                <w:szCs w:val="21"/>
              </w:rPr>
              <w:t>项的识别、控制</w:t>
            </w:r>
            <w:r>
              <w:rPr>
                <w:rFonts w:ascii="宋体" w:hAnsi="宋体"/>
                <w:b w:val="0"/>
                <w:bCs/>
                <w:sz w:val="21"/>
                <w:szCs w:val="21"/>
              </w:rPr>
              <w:t>;</w:t>
            </w:r>
          </w:p>
          <w:p>
            <w:pPr>
              <w:rPr>
                <w:b w:val="0"/>
                <w:bCs/>
                <w:sz w:val="21"/>
                <w:szCs w:val="21"/>
              </w:rPr>
            </w:pPr>
            <w:r>
              <w:rPr>
                <w:rFonts w:hint="eastAsia"/>
                <w:b w:val="0"/>
                <w:bCs/>
                <w:sz w:val="21"/>
                <w:szCs w:val="21"/>
              </w:rPr>
              <w:sym w:font="Wingdings 2" w:char="F098"/>
            </w:r>
            <w:r>
              <w:rPr>
                <w:rFonts w:hint="eastAsia"/>
                <w:b w:val="0"/>
                <w:bCs/>
                <w:sz w:val="21"/>
                <w:szCs w:val="21"/>
              </w:rPr>
              <w:t>制定了《不合格品控制程序》，对不合格品的标识、隔离、处置的职责、方法和程序做出了规定。</w:t>
            </w:r>
          </w:p>
          <w:p>
            <w:pPr>
              <w:rPr>
                <w:b w:val="0"/>
                <w:bCs/>
                <w:sz w:val="21"/>
                <w:szCs w:val="21"/>
              </w:rPr>
            </w:pPr>
            <w:r>
              <w:rPr>
                <w:rFonts w:hint="eastAsia"/>
                <w:b w:val="0"/>
                <w:bCs/>
                <w:sz w:val="21"/>
                <w:szCs w:val="21"/>
              </w:rPr>
              <w:sym w:font="Wingdings 2" w:char="F098"/>
            </w:r>
            <w:r>
              <w:rPr>
                <w:rFonts w:hint="eastAsia"/>
                <w:b w:val="0"/>
                <w:bCs/>
                <w:sz w:val="21"/>
                <w:szCs w:val="21"/>
              </w:rPr>
              <w:t>针对采购出现的不合格，直接退货。</w:t>
            </w:r>
          </w:p>
          <w:p>
            <w:pPr>
              <w:autoSpaceDE w:val="0"/>
              <w:autoSpaceDN w:val="0"/>
              <w:adjustRightInd w:val="0"/>
              <w:jc w:val="left"/>
              <w:rPr>
                <w:b w:val="0"/>
                <w:bCs/>
                <w:sz w:val="21"/>
                <w:szCs w:val="21"/>
              </w:rPr>
            </w:pPr>
            <w:r>
              <w:rPr>
                <w:rFonts w:hint="eastAsia"/>
                <w:b w:val="0"/>
                <w:bCs/>
                <w:sz w:val="21"/>
                <w:szCs w:val="21"/>
              </w:rPr>
              <w:sym w:font="Wingdings 2" w:char="F098"/>
            </w:r>
            <w:r>
              <w:rPr>
                <w:rFonts w:hint="eastAsia"/>
                <w:b w:val="0"/>
                <w:bCs/>
                <w:sz w:val="21"/>
                <w:szCs w:val="21"/>
              </w:rPr>
              <w:t>公司研发过程中的不合格品分析原因，找出问题，</w:t>
            </w:r>
            <w:r>
              <w:rPr>
                <w:rFonts w:hint="eastAsia" w:ascii="宋体" w:cs="宋体"/>
                <w:b w:val="0"/>
                <w:bCs/>
                <w:kern w:val="0"/>
                <w:sz w:val="21"/>
                <w:szCs w:val="21"/>
              </w:rPr>
              <w:t>确定处置措施并实施和验证</w:t>
            </w:r>
            <w:r>
              <w:rPr>
                <w:rFonts w:hint="eastAsia"/>
                <w:b w:val="0"/>
                <w:bCs/>
                <w:sz w:val="21"/>
                <w:szCs w:val="21"/>
              </w:rPr>
              <w:t>。</w:t>
            </w:r>
          </w:p>
          <w:p>
            <w:pPr>
              <w:spacing w:line="240" w:lineRule="exact"/>
              <w:rPr>
                <w:rFonts w:ascii="宋体" w:hAnsi="宋体"/>
                <w:b w:val="0"/>
                <w:bCs/>
                <w:sz w:val="21"/>
                <w:szCs w:val="21"/>
              </w:rPr>
            </w:pPr>
            <w:r>
              <w:rPr>
                <w:rFonts w:hint="eastAsia"/>
                <w:b w:val="0"/>
                <w:bCs/>
                <w:sz w:val="21"/>
                <w:szCs w:val="21"/>
              </w:rPr>
              <w:sym w:font="Wingdings 2" w:char="F098"/>
            </w:r>
            <w:r>
              <w:rPr>
                <w:rFonts w:hint="eastAsia"/>
                <w:b w:val="0"/>
                <w:bCs/>
                <w:sz w:val="21"/>
                <w:szCs w:val="21"/>
              </w:rPr>
              <w:t>对于客户反馈的不合格品，目前送客户产品合格，没有客户反馈的不合格情况。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0" w:hRule="atLeast"/>
          <w:jc w:val="center"/>
        </w:trPr>
        <w:tc>
          <w:tcPr>
            <w:tcW w:w="720" w:type="dxa"/>
            <w:vMerge w:val="continue"/>
            <w:vAlign w:val="center"/>
          </w:tcPr>
          <w:p>
            <w:pPr>
              <w:spacing w:line="240" w:lineRule="exact"/>
              <w:jc w:val="center"/>
              <w:rPr>
                <w:b w:val="0"/>
                <w:bCs/>
                <w:sz w:val="21"/>
                <w:szCs w:val="21"/>
              </w:rPr>
            </w:pPr>
          </w:p>
        </w:tc>
        <w:tc>
          <w:tcPr>
            <w:tcW w:w="9198" w:type="dxa"/>
          </w:tcPr>
          <w:p>
            <w:pPr>
              <w:spacing w:line="240" w:lineRule="exact"/>
              <w:rPr>
                <w:rFonts w:ascii="宋体" w:hAnsi="宋体"/>
                <w:b w:val="0"/>
                <w:bCs/>
                <w:color w:val="auto"/>
                <w:sz w:val="21"/>
                <w:szCs w:val="21"/>
              </w:rPr>
            </w:pPr>
            <w:r>
              <w:rPr>
                <w:rFonts w:ascii="宋体" w:hAnsi="宋体"/>
                <w:b w:val="0"/>
                <w:bCs/>
                <w:color w:val="auto"/>
                <w:sz w:val="21"/>
                <w:szCs w:val="21"/>
              </w:rPr>
              <w:t>7. EMS</w:t>
            </w:r>
            <w:r>
              <w:rPr>
                <w:rFonts w:hint="eastAsia" w:ascii="宋体" w:hAnsi="宋体"/>
                <w:b w:val="0"/>
                <w:bCs/>
                <w:color w:val="auto"/>
                <w:sz w:val="21"/>
                <w:szCs w:val="21"/>
              </w:rPr>
              <w:t>组织对重要环境因素实施控制的结果</w:t>
            </w:r>
          </w:p>
          <w:p>
            <w:pPr>
              <w:spacing w:line="240" w:lineRule="exact"/>
              <w:rPr>
                <w:rFonts w:ascii="宋体" w:hAnsi="宋体"/>
                <w:b w:val="0"/>
                <w:bCs/>
                <w:color w:val="auto"/>
                <w:sz w:val="21"/>
                <w:szCs w:val="21"/>
              </w:rPr>
            </w:pPr>
            <w:r>
              <w:rPr>
                <w:rFonts w:ascii="宋体" w:hAnsi="宋体"/>
                <w:b w:val="0"/>
                <w:bCs/>
                <w:color w:val="auto"/>
                <w:sz w:val="21"/>
                <w:szCs w:val="21"/>
              </w:rPr>
              <w:t>8. OHSMS</w:t>
            </w:r>
            <w:r>
              <w:rPr>
                <w:rFonts w:hint="eastAsia" w:ascii="宋体" w:hAnsi="宋体"/>
                <w:b w:val="0"/>
                <w:bCs/>
                <w:color w:val="auto"/>
                <w:sz w:val="21"/>
                <w:szCs w:val="21"/>
              </w:rPr>
              <w:t>组织对不可接受风险实施控制的结果</w:t>
            </w:r>
          </w:p>
          <w:p>
            <w:pPr>
              <w:rPr>
                <w:color w:val="000000"/>
                <w:szCs w:val="21"/>
              </w:rPr>
            </w:pPr>
            <w:r>
              <w:rPr>
                <w:rFonts w:hint="eastAsia"/>
                <w:color w:val="000000"/>
                <w:szCs w:val="21"/>
                <w:lang w:eastAsia="zh-CN"/>
              </w:rPr>
              <w:t>了解产品</w:t>
            </w:r>
            <w:r>
              <w:rPr>
                <w:rFonts w:hint="eastAsia"/>
                <w:color w:val="000000"/>
                <w:szCs w:val="21"/>
                <w:lang w:val="en-US" w:eastAsia="zh-CN"/>
              </w:rPr>
              <w:t>/服务</w:t>
            </w:r>
            <w:r>
              <w:rPr>
                <w:color w:val="000000"/>
                <w:szCs w:val="21"/>
              </w:rPr>
              <w:t>实现流程</w:t>
            </w:r>
          </w:p>
          <w:p>
            <w:r>
              <w:rPr>
                <w:rFonts w:hint="eastAsia"/>
              </w:rPr>
              <w:t>产品研发流程：</w:t>
            </w:r>
          </w:p>
          <w:p>
            <w:pPr>
              <w:rPr>
                <w:rFonts w:ascii="Arial" w:hAnsi="Arial" w:cs="Arial"/>
              </w:rPr>
            </w:pPr>
            <w:r>
              <w:rPr>
                <w:rFonts w:hint="eastAsia"/>
              </w:rPr>
              <w:t>市场调研</w:t>
            </w:r>
            <w:r>
              <w:rPr>
                <w:rFonts w:ascii="Arial" w:hAnsi="Arial" w:cs="Arial"/>
              </w:rPr>
              <w:t>→</w:t>
            </w:r>
            <w:r>
              <w:rPr>
                <w:rFonts w:hint="eastAsia" w:ascii="Arial" w:hAnsi="Arial" w:cs="Arial"/>
              </w:rPr>
              <w:t>需求分析</w:t>
            </w:r>
            <w:r>
              <w:rPr>
                <w:rFonts w:ascii="Arial" w:hAnsi="Arial" w:cs="Arial"/>
              </w:rPr>
              <w:t>→</w:t>
            </w:r>
            <w:r>
              <w:rPr>
                <w:rFonts w:hint="eastAsia" w:ascii="Arial" w:hAnsi="Arial" w:cs="Arial"/>
              </w:rPr>
              <w:t>项目立项策划</w:t>
            </w:r>
            <w:r>
              <w:rPr>
                <w:rFonts w:ascii="Arial" w:hAnsi="Arial" w:cs="Arial"/>
              </w:rPr>
              <w:t>→</w:t>
            </w:r>
            <w:r>
              <w:rPr>
                <w:rFonts w:hint="eastAsia" w:ascii="Arial" w:hAnsi="Arial" w:cs="Arial"/>
              </w:rPr>
              <w:t>设计输入</w:t>
            </w:r>
            <w:r>
              <w:rPr>
                <w:rFonts w:ascii="Arial" w:hAnsi="Arial" w:cs="Arial"/>
              </w:rPr>
              <w:t>→</w:t>
            </w:r>
            <w:r>
              <w:rPr>
                <w:rFonts w:hint="eastAsia" w:ascii="Arial" w:hAnsi="Arial" w:cs="Arial"/>
              </w:rPr>
              <w:t>输入评审</w:t>
            </w:r>
            <w:r>
              <w:rPr>
                <w:rFonts w:ascii="Arial" w:hAnsi="Arial" w:cs="Arial"/>
              </w:rPr>
              <w:t>→</w:t>
            </w:r>
            <w:r>
              <w:rPr>
                <w:rFonts w:hint="eastAsia" w:ascii="Arial" w:hAnsi="Arial" w:cs="Arial"/>
              </w:rPr>
              <w:t>设计输出</w:t>
            </w:r>
            <w:r>
              <w:rPr>
                <w:rFonts w:ascii="Arial" w:hAnsi="Arial" w:cs="Arial"/>
              </w:rPr>
              <w:t>→</w:t>
            </w:r>
            <w:r>
              <w:rPr>
                <w:rFonts w:hint="eastAsia" w:ascii="Arial" w:hAnsi="Arial" w:cs="Arial"/>
              </w:rPr>
              <w:t>输出评审</w:t>
            </w:r>
            <w:r>
              <w:rPr>
                <w:rFonts w:ascii="Arial" w:hAnsi="Arial" w:cs="Arial"/>
              </w:rPr>
              <w:t>→</w:t>
            </w:r>
            <w:r>
              <w:rPr>
                <w:rFonts w:hint="eastAsia" w:ascii="Arial" w:hAnsi="Arial" w:cs="Arial"/>
              </w:rPr>
              <w:t>设计验证</w:t>
            </w:r>
            <w:r>
              <w:rPr>
                <w:rFonts w:ascii="Arial" w:hAnsi="Arial" w:cs="Arial"/>
              </w:rPr>
              <w:t>→</w:t>
            </w:r>
            <w:r>
              <w:rPr>
                <w:rFonts w:hint="eastAsia" w:ascii="Arial" w:hAnsi="Arial" w:cs="Arial"/>
              </w:rPr>
              <w:t>测试验收</w:t>
            </w:r>
          </w:p>
          <w:p>
            <w:pPr>
              <w:rPr>
                <w:rFonts w:hint="eastAsia" w:ascii="Arial" w:hAnsi="Arial" w:cs="Arial"/>
                <w:color w:val="auto"/>
                <w:sz w:val="21"/>
                <w:szCs w:val="21"/>
                <w:lang w:val="en-US" w:eastAsia="zh-CN"/>
              </w:rPr>
            </w:pPr>
            <w:r>
              <w:rPr>
                <w:rFonts w:hint="eastAsia"/>
                <w:spacing w:val="4"/>
              </w:rPr>
              <w:t>销售流程：签订合同</w:t>
            </w:r>
            <w:r>
              <w:rPr>
                <w:rFonts w:ascii="Arial" w:hAnsi="Arial" w:cs="Arial"/>
              </w:rPr>
              <w:t>→</w:t>
            </w:r>
            <w:r>
              <w:rPr>
                <w:rFonts w:hint="eastAsia" w:ascii="Arial" w:hAnsi="Arial" w:cs="Arial"/>
              </w:rPr>
              <w:t>采购</w:t>
            </w:r>
            <w:r>
              <w:rPr>
                <w:rFonts w:ascii="Arial" w:hAnsi="Arial" w:cs="Arial"/>
              </w:rPr>
              <w:t>→</w:t>
            </w:r>
            <w:r>
              <w:rPr>
                <w:rFonts w:hint="eastAsia" w:ascii="Arial" w:hAnsi="Arial" w:cs="Arial"/>
              </w:rPr>
              <w:t>产品检验</w:t>
            </w:r>
            <w:r>
              <w:rPr>
                <w:rFonts w:ascii="Arial" w:hAnsi="Arial" w:cs="Arial"/>
              </w:rPr>
              <w:t>→</w:t>
            </w:r>
            <w:r>
              <w:rPr>
                <w:rFonts w:hint="eastAsia" w:ascii="Arial" w:hAnsi="Arial" w:cs="Arial"/>
              </w:rPr>
              <w:t>发货</w:t>
            </w:r>
            <w:r>
              <w:rPr>
                <w:rFonts w:ascii="Arial" w:hAnsi="Arial" w:cs="Arial"/>
              </w:rPr>
              <w:t>→</w:t>
            </w:r>
            <w:r>
              <w:rPr>
                <w:rFonts w:hint="eastAsia" w:ascii="Arial" w:hAnsi="Arial" w:cs="Arial"/>
              </w:rPr>
              <w:t>客户签收</w:t>
            </w:r>
            <w:r>
              <w:rPr>
                <w:rFonts w:ascii="Arial" w:hAnsi="Arial" w:cs="Arial"/>
              </w:rPr>
              <w:t>→</w:t>
            </w:r>
            <w:r>
              <w:rPr>
                <w:rFonts w:hint="eastAsia" w:ascii="Arial" w:hAnsi="Arial" w:cs="Arial"/>
              </w:rPr>
              <w:t>满意度回访</w:t>
            </w:r>
          </w:p>
          <w:p>
            <w:pPr>
              <w:rPr>
                <w:rFonts w:hint="eastAsia" w:asciiTheme="minorEastAsia" w:hAnsiTheme="minorEastAsia" w:eastAsiaTheme="minorEastAsia" w:cstheme="minorEastAsia"/>
                <w:sz w:val="21"/>
                <w:szCs w:val="21"/>
              </w:rPr>
            </w:pPr>
            <w:r>
              <w:rPr>
                <w:rFonts w:hint="eastAsia" w:ascii="Arial" w:hAnsi="Arial" w:cs="Arial"/>
                <w:color w:val="auto"/>
                <w:sz w:val="21"/>
                <w:szCs w:val="21"/>
                <w:lang w:val="en-US" w:eastAsia="zh-CN"/>
              </w:rPr>
              <w:t>无行车、叉车等特种设备，</w:t>
            </w:r>
            <w:r>
              <w:rPr>
                <w:rFonts w:hint="eastAsia" w:asciiTheme="minorEastAsia" w:hAnsiTheme="minorEastAsia" w:eastAsiaTheme="minorEastAsia" w:cstheme="minorEastAsia"/>
                <w:sz w:val="21"/>
                <w:szCs w:val="21"/>
              </w:rPr>
              <w:t>办公区</w:t>
            </w:r>
            <w:r>
              <w:rPr>
                <w:rFonts w:hint="eastAsia" w:asciiTheme="minorEastAsia" w:hAnsiTheme="minorEastAsia" w:eastAsiaTheme="minorEastAsia" w:cstheme="minorEastAsia"/>
                <w:sz w:val="21"/>
                <w:szCs w:val="21"/>
                <w:lang w:val="en-US" w:eastAsia="zh-CN"/>
              </w:rPr>
              <w:t>及车间</w:t>
            </w:r>
            <w:r>
              <w:rPr>
                <w:rFonts w:hint="eastAsia" w:asciiTheme="minorEastAsia" w:hAnsiTheme="minorEastAsia" w:eastAsiaTheme="minorEastAsia" w:cstheme="minorEastAsia"/>
                <w:sz w:val="21"/>
                <w:szCs w:val="21"/>
              </w:rPr>
              <w:t>配备</w:t>
            </w:r>
            <w:r>
              <w:rPr>
                <w:rFonts w:hint="eastAsia" w:asciiTheme="minorEastAsia" w:hAnsiTheme="minorEastAsia" w:eastAsiaTheme="minorEastAsia" w:cstheme="minorEastAsia"/>
                <w:sz w:val="21"/>
                <w:szCs w:val="21"/>
                <w:lang w:val="en-US" w:eastAsia="zh-CN"/>
              </w:rPr>
              <w:t>若干</w:t>
            </w:r>
            <w:r>
              <w:rPr>
                <w:rFonts w:hint="eastAsia" w:asciiTheme="minorEastAsia" w:hAnsiTheme="minorEastAsia" w:eastAsiaTheme="minorEastAsia" w:cstheme="minorEastAsia"/>
                <w:sz w:val="21"/>
                <w:szCs w:val="21"/>
              </w:rPr>
              <w:t>灭火器，办公室设备、电器状态良好，无安全隐患。</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Cs w:val="0"/>
                <w:spacing w:val="0"/>
                <w:sz w:val="21"/>
                <w:szCs w:val="21"/>
              </w:rPr>
              <w:t>公司</w:t>
            </w:r>
            <w:r>
              <w:rPr>
                <w:rFonts w:hint="eastAsia" w:asciiTheme="minorEastAsia" w:hAnsiTheme="minorEastAsia" w:eastAsiaTheme="minorEastAsia" w:cstheme="minorEastAsia"/>
                <w:sz w:val="21"/>
                <w:szCs w:val="21"/>
              </w:rPr>
              <w:t>无食堂</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无宿舍。</w:t>
            </w:r>
          </w:p>
          <w:p>
            <w:pPr>
              <w:pStyle w:val="2"/>
              <w:rPr>
                <w:rFonts w:hint="default"/>
                <w:sz w:val="21"/>
                <w:szCs w:val="21"/>
                <w:lang w:val="en-US" w:eastAsia="zh-CN"/>
              </w:rPr>
            </w:pPr>
          </w:p>
          <w:p>
            <w:pPr>
              <w:rPr>
                <w:rFonts w:hint="eastAsia" w:ascii="宋体" w:hAnsi="宋体"/>
                <w:kern w:val="0"/>
                <w:sz w:val="21"/>
                <w:szCs w:val="21"/>
                <w:lang w:val="en-US" w:eastAsia="zh-CN"/>
              </w:rPr>
            </w:pPr>
            <w:r>
              <w:rPr>
                <w:rFonts w:hint="eastAsia"/>
                <w:color w:val="auto"/>
                <w:sz w:val="21"/>
                <w:szCs w:val="21"/>
              </w:rPr>
              <w:t>有</w:t>
            </w:r>
            <w:r>
              <w:rPr>
                <w:rFonts w:hint="eastAsia" w:ascii="宋体" w:hAnsi="宋体"/>
                <w:kern w:val="0"/>
                <w:sz w:val="21"/>
                <w:szCs w:val="21"/>
              </w:rPr>
              <w:t>环境、安全运行</w:t>
            </w:r>
            <w:r>
              <w:rPr>
                <w:rFonts w:hint="eastAsia" w:ascii="宋体" w:hAnsi="宋体"/>
                <w:kern w:val="0"/>
                <w:sz w:val="21"/>
                <w:szCs w:val="21"/>
                <w:lang w:val="en-US" w:eastAsia="zh-CN"/>
              </w:rPr>
              <w:t>管理制度</w:t>
            </w:r>
          </w:p>
          <w:p>
            <w:pPr>
              <w:jc w:val="both"/>
              <w:rPr>
                <w:rFonts w:hint="eastAsia"/>
                <w:sz w:val="21"/>
                <w:szCs w:val="21"/>
                <w:lang w:val="en-US" w:eastAsia="zh-CN"/>
              </w:rPr>
            </w:pPr>
            <w:r>
              <w:rPr>
                <w:rFonts w:hint="eastAsia" w:asciiTheme="minorEastAsia" w:hAnsiTheme="minorEastAsia" w:eastAsiaTheme="minorEastAsia" w:cstheme="minorEastAsia"/>
                <w:b w:val="0"/>
                <w:bCs/>
                <w:sz w:val="21"/>
                <w:szCs w:val="21"/>
              </w:rPr>
              <w:t>火灾</w:t>
            </w:r>
            <w:r>
              <w:rPr>
                <w:rFonts w:hint="eastAsia" w:asciiTheme="minorEastAsia" w:hAnsiTheme="minorEastAsia" w:eastAsiaTheme="minorEastAsia" w:cstheme="minorEastAsia"/>
                <w:b w:val="0"/>
                <w:bCs/>
                <w:color w:val="auto"/>
                <w:sz w:val="21"/>
                <w:szCs w:val="21"/>
              </w:rPr>
              <w:t>事故预防：</w:t>
            </w:r>
            <w:r>
              <w:rPr>
                <w:rFonts w:hint="eastAsia" w:asciiTheme="minorEastAsia" w:hAnsiTheme="minorEastAsia" w:eastAsiaTheme="minorEastAsia" w:cstheme="minorEastAsia"/>
                <w:b w:val="0"/>
                <w:bCs/>
                <w:color w:val="auto"/>
                <w:sz w:val="21"/>
                <w:szCs w:val="21"/>
                <w:lang w:eastAsia="zh-CN"/>
              </w:rPr>
              <w:t>公司</w:t>
            </w:r>
            <w:r>
              <w:rPr>
                <w:rFonts w:hint="eastAsia" w:asciiTheme="minorEastAsia" w:hAnsiTheme="minorEastAsia" w:eastAsiaTheme="minorEastAsia" w:cstheme="minorEastAsia"/>
                <w:b w:val="0"/>
                <w:bCs/>
                <w:color w:val="auto"/>
                <w:sz w:val="21"/>
                <w:szCs w:val="21"/>
              </w:rPr>
              <w:t>配备有灭火器等消防设施，有应急预案，相关人员经过培训。</w:t>
            </w:r>
          </w:p>
          <w:p>
            <w:pPr>
              <w:rPr>
                <w:sz w:val="21"/>
                <w:szCs w:val="21"/>
              </w:rPr>
            </w:pPr>
            <w:r>
              <w:rPr>
                <w:rFonts w:hint="eastAsia"/>
                <w:sz w:val="21"/>
                <w:szCs w:val="21"/>
              </w:rPr>
              <w:t>职业病体检：进行职业病体检</w:t>
            </w:r>
            <w:r>
              <w:rPr>
                <w:rFonts w:hint="eastAsia"/>
                <w:sz w:val="21"/>
                <w:szCs w:val="21"/>
                <w:lang w:eastAsia="zh-CN"/>
              </w:rPr>
              <w:t>，</w:t>
            </w:r>
            <w:r>
              <w:rPr>
                <w:rFonts w:hint="eastAsia"/>
                <w:sz w:val="21"/>
                <w:szCs w:val="21"/>
                <w:lang w:val="en-US" w:eastAsia="zh-CN"/>
              </w:rPr>
              <w:t>查体</w:t>
            </w:r>
            <w:r>
              <w:rPr>
                <w:rFonts w:hint="eastAsia"/>
                <w:color w:val="auto"/>
                <w:sz w:val="21"/>
                <w:szCs w:val="21"/>
                <w:lang w:val="en-US" w:eastAsia="zh-CN"/>
              </w:rPr>
              <w:t>检报告，</w:t>
            </w:r>
            <w:r>
              <w:rPr>
                <w:rFonts w:hint="eastAsia" w:asciiTheme="minorEastAsia" w:hAnsiTheme="minorEastAsia" w:eastAsiaTheme="minorEastAsia" w:cstheme="minorEastAsia"/>
                <w:color w:val="auto"/>
                <w:sz w:val="21"/>
                <w:szCs w:val="21"/>
                <w:lang w:val="en-US" w:eastAsia="zh-CN"/>
              </w:rPr>
              <w:t>查体检报告，见附件。</w:t>
            </w:r>
          </w:p>
          <w:p>
            <w:pPr>
              <w:rPr>
                <w:rFonts w:hint="eastAsia" w:asciiTheme="minorEastAsia" w:hAnsiTheme="minorEastAsia" w:eastAsiaTheme="minorEastAsia" w:cstheme="minorEastAsia"/>
                <w:bCs/>
                <w:spacing w:val="10"/>
                <w:kern w:val="2"/>
                <w:sz w:val="21"/>
                <w:szCs w:val="21"/>
                <w:lang w:val="en-US" w:eastAsia="zh-CN" w:bidi="ar-SA"/>
              </w:rPr>
            </w:pPr>
            <w:r>
              <w:rPr>
                <w:rFonts w:hint="eastAsia" w:ascii="宋体" w:hAnsi="宋体"/>
                <w:sz w:val="21"/>
                <w:szCs w:val="21"/>
              </w:rPr>
              <w:t>安全用电：不随便拉电线，不随便使用大功率电器；</w:t>
            </w:r>
          </w:p>
          <w:p>
            <w:pPr>
              <w:jc w:val="both"/>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触电：公司专人负责对电箱进行检查和维保，</w:t>
            </w:r>
            <w:r>
              <w:rPr>
                <w:rFonts w:hint="eastAsia" w:asciiTheme="minorEastAsia" w:hAnsiTheme="minorEastAsia" w:eastAsiaTheme="minorEastAsia" w:cstheme="minorEastAsia"/>
                <w:b w:val="0"/>
                <w:bCs/>
                <w:color w:val="auto"/>
                <w:sz w:val="21"/>
                <w:szCs w:val="21"/>
              </w:rPr>
              <w:t>电气线路防护</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措施到位。</w:t>
            </w:r>
          </w:p>
          <w:p>
            <w:pPr>
              <w:jc w:val="both"/>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意外伤害：研发人员经过培训，设备定期保养，</w:t>
            </w:r>
            <w:r>
              <w:rPr>
                <w:rFonts w:hint="eastAsia"/>
                <w:sz w:val="21"/>
                <w:szCs w:val="21"/>
              </w:rPr>
              <w:t>有医药箱（创可贴、医用酒精、碘伏</w:t>
            </w:r>
            <w:r>
              <w:rPr>
                <w:rFonts w:hint="eastAsia"/>
                <w:sz w:val="21"/>
                <w:szCs w:val="21"/>
                <w:lang w:eastAsia="zh-CN"/>
              </w:rPr>
              <w:t>等</w:t>
            </w:r>
            <w:r>
              <w:rPr>
                <w:rFonts w:hint="eastAsia"/>
                <w:sz w:val="21"/>
                <w:szCs w:val="21"/>
              </w:rPr>
              <w:t>）；</w:t>
            </w:r>
          </w:p>
          <w:p>
            <w:pPr>
              <w:jc w:val="both"/>
              <w:rPr>
                <w:rFonts w:hint="eastAsia" w:ascii="宋体" w:hAnsi="宋体"/>
                <w:sz w:val="21"/>
                <w:szCs w:val="21"/>
              </w:rPr>
            </w:pPr>
            <w:r>
              <w:rPr>
                <w:rFonts w:hint="eastAsia" w:asciiTheme="minorEastAsia" w:hAnsiTheme="minorEastAsia" w:eastAsiaTheme="minorEastAsia" w:cstheme="minorEastAsia"/>
                <w:b w:val="0"/>
                <w:bCs/>
                <w:color w:val="auto"/>
                <w:sz w:val="21"/>
                <w:szCs w:val="21"/>
                <w:lang w:val="en-US" w:eastAsia="zh-CN"/>
              </w:rPr>
              <w:t>触电：电箱均有防触电标识，人员经过培训，</w:t>
            </w:r>
            <w:r>
              <w:rPr>
                <w:rFonts w:hint="eastAsia" w:ascii="宋体" w:hAnsi="宋体"/>
                <w:sz w:val="21"/>
                <w:szCs w:val="21"/>
              </w:rPr>
              <w:t>有消防栓、灭火器（干粉、水基）；</w:t>
            </w:r>
          </w:p>
          <w:p>
            <w:pPr>
              <w:pStyle w:val="2"/>
              <w:rPr>
                <w:rFonts w:hint="eastAsia" w:eastAsiaTheme="minorEastAsia"/>
                <w:sz w:val="21"/>
                <w:szCs w:val="21"/>
                <w:lang w:val="en-US" w:eastAsia="zh-CN"/>
              </w:rPr>
            </w:pPr>
            <w:r>
              <w:rPr>
                <w:rFonts w:hint="eastAsia" w:asciiTheme="minorEastAsia" w:hAnsiTheme="minorEastAsia" w:eastAsiaTheme="minorEastAsia" w:cstheme="minorEastAsia"/>
                <w:sz w:val="21"/>
                <w:szCs w:val="21"/>
                <w:lang w:eastAsia="zh-CN"/>
              </w:rPr>
              <w:t>疫情预防及防控：见应急预案，口罩、手套等物资发放；办公区域及库房等区域消毒记录；每天体温检测记录等；</w:t>
            </w:r>
          </w:p>
          <w:p>
            <w:pPr>
              <w:pStyle w:val="2"/>
              <w:rPr>
                <w:rFonts w:hint="eastAsia"/>
                <w:sz w:val="21"/>
                <w:szCs w:val="21"/>
                <w:lang w:val="en-US" w:eastAsia="zh-CN"/>
              </w:rPr>
            </w:pPr>
          </w:p>
          <w:p>
            <w:pPr>
              <w:numPr>
                <w:ilvl w:val="0"/>
                <w:numId w:val="0"/>
              </w:numPr>
              <w:jc w:val="both"/>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提供人员社保清单：</w:t>
            </w:r>
          </w:p>
          <w:p>
            <w:pPr>
              <w:numPr>
                <w:ilvl w:val="0"/>
                <w:numId w:val="0"/>
              </w:numPr>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公司制定了安全生产责任属，制定了安全目标考核制定；</w:t>
            </w:r>
          </w:p>
          <w:p>
            <w:pPr>
              <w:numPr>
                <w:ilvl w:val="0"/>
                <w:numId w:val="0"/>
              </w:numPr>
              <w:jc w:val="both"/>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lang w:val="en-US" w:eastAsia="zh-CN"/>
              </w:rPr>
              <w:t>提供</w:t>
            </w:r>
            <w:r>
              <w:rPr>
                <w:rFonts w:hint="eastAsia" w:asciiTheme="minorEastAsia" w:hAnsiTheme="minorEastAsia" w:eastAsiaTheme="minorEastAsia" w:cstheme="minorEastAsia"/>
                <w:b w:val="0"/>
                <w:bCs/>
                <w:color w:val="auto"/>
                <w:sz w:val="21"/>
                <w:szCs w:val="21"/>
                <w:highlight w:val="none"/>
                <w:lang w:val="en-US" w:eastAsia="zh-CN"/>
              </w:rPr>
              <w:t>员工体检清单：</w:t>
            </w:r>
          </w:p>
          <w:p>
            <w:pPr>
              <w:widowControl w:val="0"/>
              <w:numPr>
                <w:ilvl w:val="0"/>
                <w:numId w:val="0"/>
              </w:numPr>
              <w:jc w:val="both"/>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提供员工个人防护清单</w:t>
            </w:r>
          </w:p>
          <w:p>
            <w:pPr>
              <w:widowControl w:val="0"/>
              <w:numPr>
                <w:ilvl w:val="0"/>
                <w:numId w:val="0"/>
              </w:numPr>
              <w:jc w:val="both"/>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发放劳保用品：口罩2包、手套 3付、耳塞2付， 领用人</w:t>
            </w:r>
            <w:r>
              <w:rPr>
                <w:rFonts w:hint="eastAsia" w:asciiTheme="minorEastAsia" w:hAnsiTheme="minorEastAsia" w:eastAsiaTheme="minorEastAsia" w:cstheme="minorEastAsia"/>
                <w:sz w:val="21"/>
                <w:szCs w:val="21"/>
                <w:highlight w:val="none"/>
                <w:lang w:eastAsia="zh-CN"/>
              </w:rPr>
              <w:t>王勃</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b w:val="0"/>
                <w:bCs/>
                <w:color w:val="auto"/>
                <w:sz w:val="21"/>
                <w:szCs w:val="21"/>
                <w:highlight w:val="none"/>
                <w:lang w:val="en-US" w:eastAsia="zh-CN"/>
              </w:rPr>
              <w:t>， 2020.3.6；</w:t>
            </w:r>
          </w:p>
          <w:p>
            <w:pPr>
              <w:pStyle w:val="2"/>
              <w:rPr>
                <w:rFonts w:hint="eastAsia"/>
                <w:color w:val="auto"/>
                <w:sz w:val="21"/>
                <w:szCs w:val="21"/>
                <w:highlight w:val="none"/>
              </w:rPr>
            </w:pPr>
            <w:r>
              <w:rPr>
                <w:rFonts w:hint="eastAsia" w:ascii="宋体" w:hAnsi="宋体"/>
                <w:sz w:val="21"/>
                <w:szCs w:val="21"/>
                <w:highlight w:val="none"/>
              </w:rPr>
              <w:t>体系成立以来</w:t>
            </w:r>
            <w:r>
              <w:rPr>
                <w:rFonts w:hint="eastAsia" w:ascii="宋体" w:hAnsi="宋体"/>
                <w:color w:val="auto"/>
                <w:sz w:val="21"/>
                <w:szCs w:val="21"/>
                <w:highlight w:val="none"/>
              </w:rPr>
              <w:t>未发生</w:t>
            </w:r>
            <w:r>
              <w:rPr>
                <w:rFonts w:hint="eastAsia"/>
                <w:color w:val="auto"/>
                <w:sz w:val="21"/>
                <w:szCs w:val="21"/>
                <w:highlight w:val="none"/>
              </w:rPr>
              <w:t>危险作业（登高、动火、临时电、受限空间等）；</w:t>
            </w:r>
          </w:p>
          <w:p>
            <w:pP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有</w:t>
            </w:r>
            <w:r>
              <w:rPr>
                <w:rFonts w:hint="eastAsia" w:asciiTheme="minorEastAsia" w:hAnsiTheme="minorEastAsia" w:eastAsiaTheme="minorEastAsia" w:cstheme="minorEastAsia"/>
                <w:color w:val="auto"/>
                <w:sz w:val="21"/>
                <w:szCs w:val="21"/>
                <w:highlight w:val="none"/>
              </w:rPr>
              <w:t>《消防应急演练》</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应急措施有效.</w:t>
            </w:r>
          </w:p>
          <w:p>
            <w:pPr>
              <w:pStyle w:val="2"/>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有《安全检查记录表》</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《职业安全检查表》</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抽2020-3-03日、2020-3-25日、2020-4-18日无异常，体温检测及消毒记录表，见附件。</w:t>
            </w:r>
          </w:p>
          <w:p>
            <w:pPr>
              <w:spacing w:line="240" w:lineRule="exact"/>
              <w:rPr>
                <w:rFonts w:ascii="宋体" w:hAnsi="宋体"/>
                <w:b w:val="0"/>
                <w:bCs/>
                <w:color w:val="auto"/>
                <w:sz w:val="21"/>
                <w:szCs w:val="21"/>
              </w:rPr>
            </w:pPr>
            <w:r>
              <w:rPr>
                <w:rFonts w:hint="eastAsia" w:asciiTheme="minorEastAsia" w:hAnsiTheme="minorEastAsia" w:eastAsiaTheme="minorEastAsia" w:cstheme="minorEastAsia"/>
                <w:sz w:val="21"/>
                <w:szCs w:val="21"/>
                <w:lang w:val="en-US" w:eastAsia="zh-CN"/>
              </w:rPr>
              <w:t>近一年无</w:t>
            </w:r>
            <w:r>
              <w:rPr>
                <w:rFonts w:hint="eastAsia" w:asciiTheme="minorEastAsia" w:hAnsiTheme="minorEastAsia" w:eastAsiaTheme="minorEastAsia" w:cstheme="minorEastAsia"/>
                <w:color w:val="auto"/>
                <w:sz w:val="21"/>
                <w:szCs w:val="21"/>
                <w:lang w:val="en-US" w:eastAsia="zh-CN"/>
              </w:rPr>
              <w:t>工伤发生；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val="0"/>
                <w:bCs/>
                <w:sz w:val="21"/>
                <w:szCs w:val="21"/>
              </w:rPr>
            </w:pPr>
          </w:p>
        </w:tc>
        <w:tc>
          <w:tcPr>
            <w:tcW w:w="9198" w:type="dxa"/>
          </w:tcPr>
          <w:p>
            <w:pPr>
              <w:spacing w:line="240" w:lineRule="exact"/>
              <w:ind w:left="211" w:hanging="210" w:hangingChars="100"/>
              <w:rPr>
                <w:rFonts w:ascii="宋体" w:hAnsi="宋体"/>
                <w:b w:val="0"/>
                <w:bCs/>
                <w:color w:val="auto"/>
                <w:sz w:val="21"/>
                <w:szCs w:val="21"/>
              </w:rPr>
            </w:pPr>
            <w:r>
              <w:rPr>
                <w:rFonts w:ascii="宋体" w:hAnsi="宋体"/>
                <w:b w:val="0"/>
                <w:bCs/>
                <w:color w:val="auto"/>
                <w:sz w:val="21"/>
                <w:szCs w:val="21"/>
              </w:rPr>
              <w:t xml:space="preserve">9. </w:t>
            </w:r>
            <w:r>
              <w:rPr>
                <w:rFonts w:hint="eastAsia" w:ascii="宋体" w:hAnsi="宋体"/>
                <w:b w:val="0"/>
                <w:bCs/>
                <w:color w:val="auto"/>
                <w:sz w:val="21"/>
                <w:szCs w:val="21"/>
              </w:rPr>
              <w:t>应急准备与相应活动的演练及对预案可行性的评价</w:t>
            </w:r>
            <w:r>
              <w:rPr>
                <w:rFonts w:ascii="宋体" w:hAnsi="宋体"/>
                <w:b w:val="0"/>
                <w:bCs/>
                <w:color w:val="auto"/>
                <w:sz w:val="21"/>
                <w:szCs w:val="21"/>
              </w:rPr>
              <w:t>(</w:t>
            </w:r>
            <w:r>
              <w:rPr>
                <w:rFonts w:hint="eastAsia" w:ascii="宋体" w:hAnsi="宋体"/>
                <w:b w:val="0"/>
                <w:bCs/>
                <w:color w:val="auto"/>
                <w:sz w:val="21"/>
                <w:szCs w:val="21"/>
              </w:rPr>
              <w:t>当有规定时</w:t>
            </w:r>
            <w:r>
              <w:rPr>
                <w:rFonts w:ascii="宋体" w:hAnsi="宋体"/>
                <w:b w:val="0"/>
                <w:bCs/>
                <w:color w:val="auto"/>
                <w:sz w:val="21"/>
                <w:szCs w:val="21"/>
              </w:rPr>
              <w:t xml:space="preserve">) </w:t>
            </w:r>
          </w:p>
          <w:p>
            <w:pPr>
              <w:ind w:firstLine="420" w:firstLineChars="200"/>
              <w:rPr>
                <w:rFonts w:hint="eastAsia"/>
                <w:color w:val="auto"/>
                <w:sz w:val="21"/>
                <w:szCs w:val="21"/>
                <w:lang w:eastAsia="zh-CN"/>
              </w:rPr>
            </w:pPr>
            <w:r>
              <w:rPr>
                <w:rFonts w:hint="eastAsia" w:asciiTheme="minorEastAsia" w:hAnsiTheme="minorEastAsia" w:eastAsiaTheme="minorEastAsia" w:cstheme="minorEastAsia"/>
                <w:color w:val="auto"/>
                <w:sz w:val="21"/>
                <w:szCs w:val="21"/>
              </w:rPr>
              <w:t>有</w:t>
            </w:r>
            <w:r>
              <w:rPr>
                <w:rFonts w:hint="eastAsia"/>
                <w:color w:val="auto"/>
                <w:sz w:val="21"/>
                <w:szCs w:val="21"/>
              </w:rPr>
              <w:t>应急准备和响应控制程序</w:t>
            </w:r>
            <w:r>
              <w:rPr>
                <w:rFonts w:hint="eastAsia"/>
                <w:color w:val="auto"/>
                <w:sz w:val="21"/>
                <w:szCs w:val="21"/>
                <w:lang w:val="en-US" w:eastAsia="zh-CN"/>
              </w:rPr>
              <w:t xml:space="preserve"> </w:t>
            </w:r>
            <w:r>
              <w:rPr>
                <w:rFonts w:hint="eastAsia"/>
                <w:color w:val="auto"/>
                <w:sz w:val="21"/>
                <w:szCs w:val="21"/>
              </w:rPr>
              <w:t>BXKJ-QES/CX-18；</w:t>
            </w:r>
            <w:r>
              <w:rPr>
                <w:rFonts w:hint="eastAsia"/>
                <w:color w:val="auto"/>
                <w:sz w:val="21"/>
                <w:szCs w:val="21"/>
                <w:lang w:eastAsia="zh-CN"/>
              </w:rPr>
              <w:t>《</w:t>
            </w:r>
            <w:r>
              <w:rPr>
                <w:rFonts w:hint="eastAsia"/>
                <w:color w:val="auto"/>
                <w:sz w:val="21"/>
                <w:szCs w:val="21"/>
                <w:lang w:val="en-US" w:eastAsia="zh-CN"/>
              </w:rPr>
              <w:t>触电预案</w:t>
            </w:r>
            <w:r>
              <w:rPr>
                <w:rFonts w:hint="eastAsia"/>
                <w:color w:val="auto"/>
                <w:sz w:val="21"/>
                <w:szCs w:val="21"/>
                <w:lang w:eastAsia="zh-CN"/>
              </w:rPr>
              <w:t>》；《火灾应急处理预案》等，</w:t>
            </w:r>
          </w:p>
          <w:p>
            <w:pPr>
              <w:rPr>
                <w:rFonts w:hint="eastAsia"/>
                <w:color w:val="auto"/>
                <w:sz w:val="21"/>
                <w:szCs w:val="21"/>
              </w:rPr>
            </w:pPr>
            <w:r>
              <w:rPr>
                <w:rFonts w:hint="eastAsia"/>
                <w:color w:val="auto"/>
                <w:sz w:val="21"/>
                <w:szCs w:val="21"/>
              </w:rPr>
              <w:t>近一年没有发生火灾或未遂事件</w:t>
            </w:r>
          </w:p>
          <w:p>
            <w:pPr>
              <w:rPr>
                <w:rFonts w:hint="eastAsia"/>
                <w:color w:val="auto"/>
                <w:sz w:val="21"/>
                <w:szCs w:val="21"/>
              </w:rPr>
            </w:pPr>
            <w:r>
              <w:rPr>
                <w:rFonts w:hint="eastAsia"/>
                <w:color w:val="auto"/>
                <w:sz w:val="21"/>
                <w:szCs w:val="21"/>
              </w:rPr>
              <w:t>有《消防应急演练》；</w:t>
            </w:r>
          </w:p>
          <w:p>
            <w:pPr>
              <w:rPr>
                <w:rFonts w:hint="eastAsia" w:asciiTheme="minorEastAsia" w:hAnsiTheme="minorEastAsia" w:eastAsiaTheme="minorEastAsia" w:cstheme="minorEastAsia"/>
                <w:sz w:val="21"/>
                <w:szCs w:val="21"/>
              </w:rPr>
            </w:pPr>
            <w:r>
              <w:rPr>
                <w:rFonts w:hint="eastAsia"/>
                <w:color w:val="auto"/>
                <w:sz w:val="21"/>
                <w:szCs w:val="21"/>
              </w:rPr>
              <w:t>于</w:t>
            </w:r>
            <w:r>
              <w:rPr>
                <w:rFonts w:hint="eastAsia"/>
                <w:color w:val="auto"/>
                <w:sz w:val="21"/>
                <w:szCs w:val="21"/>
                <w:lang w:eastAsia="zh-CN"/>
              </w:rPr>
              <w:t>2019年9月15</w:t>
            </w:r>
            <w:r>
              <w:rPr>
                <w:rFonts w:hint="eastAsia"/>
                <w:color w:val="auto"/>
                <w:sz w:val="21"/>
                <w:szCs w:val="21"/>
              </w:rPr>
              <w:t>进行</w:t>
            </w:r>
            <w:r>
              <w:rPr>
                <w:rFonts w:hint="eastAsia"/>
                <w:sz w:val="21"/>
                <w:szCs w:val="21"/>
              </w:rPr>
              <w:t>了火灾演练，</w:t>
            </w:r>
            <w:r>
              <w:rPr>
                <w:rFonts w:hint="eastAsia"/>
                <w:sz w:val="21"/>
                <w:szCs w:val="21"/>
                <w:lang w:val="en-US" w:eastAsia="zh-CN"/>
              </w:rPr>
              <w:t>全体人员</w:t>
            </w:r>
            <w:r>
              <w:rPr>
                <w:rFonts w:hint="eastAsia"/>
                <w:sz w:val="21"/>
                <w:szCs w:val="21"/>
              </w:rPr>
              <w:t>参加；</w:t>
            </w:r>
            <w:r>
              <w:rPr>
                <w:rFonts w:hint="eastAsia"/>
                <w:sz w:val="21"/>
                <w:szCs w:val="21"/>
                <w:lang w:eastAsia="zh-CN"/>
              </w:rPr>
              <w:t>查</w:t>
            </w:r>
            <w:r>
              <w:rPr>
                <w:rFonts w:hint="eastAsia"/>
                <w:sz w:val="21"/>
                <w:szCs w:val="21"/>
              </w:rPr>
              <w:t>《演练记录》</w:t>
            </w:r>
            <w:r>
              <w:rPr>
                <w:rFonts w:hint="eastAsia" w:asciiTheme="minorEastAsia" w:hAnsiTheme="minorEastAsia" w:eastAsiaTheme="minorEastAsia" w:cstheme="minorEastAsia"/>
                <w:sz w:val="21"/>
                <w:szCs w:val="21"/>
              </w:rPr>
              <w:t>应急能力评价：</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公司制定的应急措施有效，故障顺利被排除。</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烧伤得到正确的处置。</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人员能及时疏散。</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灭火方法正确有效。</w:t>
            </w:r>
          </w:p>
          <w:p>
            <w:pPr>
              <w:pStyle w:val="2"/>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演习过程表明，应急预案中设定的方法可以控制应急情况下的环境污染，将人身伤亡可能降到最低</w:t>
            </w:r>
            <w:r>
              <w:rPr>
                <w:rFonts w:hint="eastAsia" w:asciiTheme="minorEastAsia" w:hAnsiTheme="minorEastAsia" w:eastAsiaTheme="minorEastAsia" w:cstheme="minorEastAsia"/>
                <w:sz w:val="21"/>
                <w:szCs w:val="21"/>
                <w:lang w:eastAsia="zh-CN"/>
              </w:rPr>
              <w:t>。</w:t>
            </w:r>
          </w:p>
          <w:p>
            <w:pPr>
              <w:spacing w:line="240" w:lineRule="exact"/>
              <w:rPr>
                <w:rFonts w:ascii="宋体" w:hAnsi="宋体"/>
                <w:b w:val="0"/>
                <w:bCs/>
                <w:color w:val="FF0000"/>
                <w:sz w:val="21"/>
                <w:szCs w:val="21"/>
              </w:rPr>
            </w:pPr>
            <w:r>
              <w:rPr>
                <w:rFonts w:hint="eastAsia" w:asciiTheme="minorEastAsia" w:hAnsiTheme="minorEastAsia" w:eastAsiaTheme="minorEastAsia" w:cstheme="minorEastAsia"/>
                <w:sz w:val="21"/>
                <w:szCs w:val="21"/>
                <w:lang w:eastAsia="zh-CN"/>
              </w:rPr>
              <w:t>应急演练达到预期效果，应急预案无需修订。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720" w:type="dxa"/>
            <w:vMerge w:val="continue"/>
            <w:vAlign w:val="center"/>
          </w:tcPr>
          <w:p>
            <w:pPr>
              <w:spacing w:line="240" w:lineRule="exact"/>
              <w:jc w:val="center"/>
              <w:rPr>
                <w:b w:val="0"/>
                <w:bCs/>
                <w:sz w:val="21"/>
                <w:szCs w:val="21"/>
              </w:rPr>
            </w:pPr>
          </w:p>
        </w:tc>
        <w:tc>
          <w:tcPr>
            <w:tcW w:w="9198" w:type="dxa"/>
          </w:tcPr>
          <w:p>
            <w:pPr>
              <w:spacing w:line="240" w:lineRule="exact"/>
              <w:rPr>
                <w:rFonts w:ascii="宋体" w:hAnsi="宋体"/>
                <w:b w:val="0"/>
                <w:bCs/>
                <w:sz w:val="21"/>
                <w:szCs w:val="21"/>
              </w:rPr>
            </w:pPr>
            <w:r>
              <w:rPr>
                <w:rFonts w:ascii="宋体" w:hAnsi="宋体"/>
                <w:b w:val="0"/>
                <w:bCs/>
                <w:sz w:val="21"/>
                <w:szCs w:val="21"/>
              </w:rPr>
              <w:t xml:space="preserve">10. </w:t>
            </w:r>
            <w:r>
              <w:rPr>
                <w:rFonts w:hint="eastAsia" w:ascii="宋体" w:hAnsi="宋体"/>
                <w:b w:val="0"/>
                <w:bCs/>
                <w:sz w:val="21"/>
                <w:szCs w:val="21"/>
              </w:rPr>
              <w:t>对特种设备的维护，检定</w:t>
            </w:r>
            <w:r>
              <w:rPr>
                <w:rFonts w:ascii="宋体" w:hAnsi="宋体"/>
                <w:b w:val="0"/>
                <w:bCs/>
                <w:sz w:val="21"/>
                <w:szCs w:val="21"/>
              </w:rPr>
              <w:t>;</w:t>
            </w:r>
            <w:r>
              <w:rPr>
                <w:rFonts w:hint="eastAsia" w:ascii="宋体" w:hAnsi="宋体"/>
                <w:b w:val="0"/>
                <w:bCs/>
                <w:sz w:val="21"/>
                <w:szCs w:val="21"/>
              </w:rPr>
              <w:t>（</w:t>
            </w:r>
            <w:r>
              <w:rPr>
                <w:rFonts w:ascii="宋体" w:hAnsi="宋体"/>
                <w:b w:val="0"/>
                <w:bCs/>
                <w:sz w:val="21"/>
                <w:szCs w:val="21"/>
              </w:rPr>
              <w:t>适用时</w:t>
            </w:r>
            <w:r>
              <w:rPr>
                <w:rFonts w:hint="eastAsia" w:ascii="宋体" w:hAnsi="宋体"/>
                <w:b w:val="0"/>
                <w:bCs/>
                <w:sz w:val="21"/>
                <w:szCs w:val="21"/>
              </w:rPr>
              <w:t>）</w:t>
            </w:r>
          </w:p>
          <w:p>
            <w:pPr>
              <w:ind w:left="240" w:leftChars="100" w:firstLine="105" w:firstLineChars="50"/>
              <w:jc w:val="left"/>
              <w:rPr>
                <w:rFonts w:hint="eastAsia" w:ascii="宋体" w:hAnsi="宋体" w:eastAsia="宋体"/>
                <w:b w:val="0"/>
                <w:bCs/>
                <w:sz w:val="21"/>
                <w:szCs w:val="21"/>
                <w:lang w:eastAsia="zh-CN"/>
              </w:rPr>
            </w:pPr>
            <w:r>
              <w:rPr>
                <w:rFonts w:hint="eastAsia" w:ascii="宋体" w:hAnsi="宋体"/>
                <w:b w:val="0"/>
                <w:bCs/>
                <w:sz w:val="21"/>
                <w:szCs w:val="21"/>
                <w:lang w:eastAsia="zh-CN"/>
              </w:rPr>
              <w:t>无特种设备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720" w:type="dxa"/>
            <w:vMerge w:val="continue"/>
            <w:vAlign w:val="center"/>
          </w:tcPr>
          <w:p>
            <w:pPr>
              <w:spacing w:line="240" w:lineRule="exact"/>
              <w:jc w:val="center"/>
              <w:rPr>
                <w:b w:val="0"/>
                <w:bCs/>
                <w:sz w:val="21"/>
                <w:szCs w:val="21"/>
              </w:rPr>
            </w:pPr>
          </w:p>
        </w:tc>
        <w:tc>
          <w:tcPr>
            <w:tcW w:w="9198" w:type="dxa"/>
          </w:tcPr>
          <w:p>
            <w:pPr>
              <w:spacing w:line="240" w:lineRule="exact"/>
              <w:rPr>
                <w:rFonts w:hint="eastAsia" w:ascii="宋体" w:hAnsi="宋体" w:eastAsia="宋体"/>
                <w:b w:val="0"/>
                <w:bCs/>
                <w:sz w:val="21"/>
                <w:szCs w:val="21"/>
                <w:lang w:eastAsia="zh-CN"/>
              </w:rPr>
            </w:pPr>
            <w:r>
              <w:rPr>
                <w:rFonts w:ascii="宋体" w:hAnsi="宋体"/>
                <w:b w:val="0"/>
                <w:bCs/>
                <w:sz w:val="21"/>
                <w:szCs w:val="21"/>
              </w:rPr>
              <w:t>11 .</w:t>
            </w:r>
            <w:r>
              <w:rPr>
                <w:rFonts w:hint="eastAsia" w:ascii="宋体" w:hAnsi="宋体"/>
                <w:b w:val="0"/>
                <w:bCs/>
                <w:sz w:val="21"/>
                <w:szCs w:val="21"/>
              </w:rPr>
              <w:t>对危险化学品销售、使用、储存、运输处置，规定的执行力度</w:t>
            </w:r>
            <w:r>
              <w:rPr>
                <w:rFonts w:ascii="宋体" w:hAnsi="宋体"/>
                <w:b w:val="0"/>
                <w:bCs/>
                <w:sz w:val="21"/>
                <w:szCs w:val="21"/>
              </w:rPr>
              <w:t>(</w:t>
            </w:r>
            <w:r>
              <w:rPr>
                <w:rFonts w:hint="eastAsia" w:ascii="宋体" w:hAnsi="宋体"/>
                <w:b w:val="0"/>
                <w:bCs/>
                <w:sz w:val="21"/>
                <w:szCs w:val="21"/>
              </w:rPr>
              <w:t>必要时</w:t>
            </w:r>
            <w:r>
              <w:rPr>
                <w:rFonts w:ascii="宋体" w:hAnsi="宋体"/>
                <w:b w:val="0"/>
                <w:bCs/>
                <w:sz w:val="21"/>
                <w:szCs w:val="21"/>
              </w:rPr>
              <w:t>)</w:t>
            </w:r>
            <w:r>
              <w:rPr>
                <w:rFonts w:hint="eastAsia" w:ascii="宋体" w:hAnsi="宋体"/>
                <w:b w:val="0"/>
                <w:bCs/>
                <w:sz w:val="21"/>
                <w:szCs w:val="21"/>
                <w:lang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jc w:val="center"/>
        </w:trPr>
        <w:tc>
          <w:tcPr>
            <w:tcW w:w="720" w:type="dxa"/>
            <w:vMerge w:val="restart"/>
            <w:textDirection w:val="tbRlV"/>
            <w:vAlign w:val="center"/>
          </w:tcPr>
          <w:p>
            <w:pPr>
              <w:spacing w:line="240" w:lineRule="exact"/>
              <w:ind w:left="113" w:right="113"/>
              <w:jc w:val="center"/>
              <w:rPr>
                <w:rFonts w:ascii="宋体" w:hAnsi="宋体"/>
                <w:b w:val="0"/>
                <w:bCs/>
                <w:sz w:val="21"/>
                <w:szCs w:val="21"/>
              </w:rPr>
            </w:pPr>
            <w:r>
              <w:rPr>
                <w:rFonts w:ascii="宋体" w:hAnsi="宋体"/>
                <w:b w:val="0"/>
                <w:bCs/>
                <w:sz w:val="21"/>
                <w:szCs w:val="21"/>
              </w:rPr>
              <w:t>(</w:t>
            </w:r>
            <w:r>
              <w:rPr>
                <w:rFonts w:hint="eastAsia" w:ascii="宋体" w:hAnsi="宋体"/>
                <w:b w:val="0"/>
                <w:bCs/>
                <w:sz w:val="21"/>
                <w:szCs w:val="21"/>
              </w:rPr>
              <w:t>四</w:t>
            </w:r>
            <w:r>
              <w:rPr>
                <w:rFonts w:ascii="宋体" w:hAnsi="宋体"/>
                <w:b w:val="0"/>
                <w:bCs/>
                <w:sz w:val="21"/>
                <w:szCs w:val="21"/>
              </w:rPr>
              <w:t>)</w:t>
            </w:r>
            <w:r>
              <w:rPr>
                <w:rFonts w:hint="eastAsia" w:ascii="宋体" w:hAnsi="宋体"/>
                <w:b w:val="0"/>
                <w:bCs/>
                <w:sz w:val="21"/>
                <w:szCs w:val="21"/>
              </w:rPr>
              <w:t>监视测量方面</w:t>
            </w:r>
          </w:p>
        </w:tc>
        <w:tc>
          <w:tcPr>
            <w:tcW w:w="9198" w:type="dxa"/>
          </w:tcPr>
          <w:p>
            <w:pPr>
              <w:spacing w:line="240" w:lineRule="exact"/>
              <w:ind w:left="105" w:hanging="105" w:hangingChars="50"/>
              <w:rPr>
                <w:rFonts w:ascii="宋体" w:hAnsi="宋体"/>
                <w:b w:val="0"/>
                <w:bCs/>
                <w:sz w:val="21"/>
                <w:szCs w:val="21"/>
              </w:rPr>
            </w:pPr>
            <w:r>
              <w:rPr>
                <w:rFonts w:ascii="宋体" w:hAnsi="宋体"/>
                <w:b w:val="0"/>
                <w:bCs/>
                <w:sz w:val="21"/>
                <w:szCs w:val="21"/>
              </w:rPr>
              <w:t>1. .</w:t>
            </w:r>
            <w:r>
              <w:rPr>
                <w:rFonts w:hint="eastAsia" w:ascii="宋体" w:hAnsi="宋体"/>
                <w:b w:val="0"/>
                <w:bCs/>
                <w:sz w:val="21"/>
                <w:szCs w:val="21"/>
              </w:rPr>
              <w:t>对质量</w:t>
            </w:r>
            <w:r>
              <w:rPr>
                <w:rFonts w:ascii="宋体" w:hAnsi="宋体"/>
                <w:b w:val="0"/>
                <w:bCs/>
                <w:sz w:val="21"/>
                <w:szCs w:val="21"/>
              </w:rPr>
              <w:t>/</w:t>
            </w:r>
            <w:r>
              <w:rPr>
                <w:rFonts w:hint="eastAsia" w:ascii="宋体" w:hAnsi="宋体"/>
                <w:b w:val="0"/>
                <w:bCs/>
                <w:sz w:val="21"/>
                <w:szCs w:val="21"/>
              </w:rPr>
              <w:t>环境</w:t>
            </w:r>
            <w:r>
              <w:rPr>
                <w:rFonts w:ascii="宋体" w:hAnsi="宋体"/>
                <w:b w:val="0"/>
                <w:bCs/>
                <w:sz w:val="21"/>
                <w:szCs w:val="21"/>
              </w:rPr>
              <w:t>/</w:t>
            </w:r>
            <w:r>
              <w:rPr>
                <w:rFonts w:hint="eastAsia" w:ascii="宋体" w:hAnsi="宋体"/>
                <w:b w:val="0"/>
                <w:bCs/>
                <w:sz w:val="21"/>
                <w:szCs w:val="21"/>
              </w:rPr>
              <w:t>职业健康安全目标指标进行定期监测</w:t>
            </w:r>
            <w:r>
              <w:rPr>
                <w:rFonts w:ascii="宋体" w:hAnsi="宋体"/>
                <w:b w:val="0"/>
                <w:bCs/>
                <w:sz w:val="21"/>
                <w:szCs w:val="21"/>
              </w:rPr>
              <w:t>/</w:t>
            </w:r>
            <w:r>
              <w:rPr>
                <w:rFonts w:hint="eastAsia" w:ascii="宋体" w:hAnsi="宋体"/>
                <w:b w:val="0"/>
                <w:bCs/>
                <w:sz w:val="21"/>
                <w:szCs w:val="21"/>
              </w:rPr>
              <w:t>检查情况</w:t>
            </w:r>
          </w:p>
          <w:p>
            <w:pPr>
              <w:spacing w:line="240" w:lineRule="exact"/>
              <w:ind w:firstLine="105" w:firstLineChars="50"/>
              <w:rPr>
                <w:rFonts w:hint="eastAsia" w:ascii="宋体" w:hAnsi="宋体" w:eastAsia="宋体"/>
                <w:b w:val="0"/>
                <w:bCs/>
                <w:sz w:val="21"/>
                <w:szCs w:val="21"/>
                <w:lang w:eastAsia="zh-CN"/>
              </w:rPr>
            </w:pPr>
            <w:r>
              <w:rPr>
                <w:rFonts w:hint="eastAsia"/>
                <w:b w:val="0"/>
                <w:bCs/>
                <w:sz w:val="21"/>
                <w:szCs w:val="21"/>
              </w:rPr>
              <w:t>提供了文件化可分解的目标、指标，经查问分解到各部门，经查阅建立的管理目标符合标准要求，在方针的框架下展开，每季度考核一次，查看2020年1季度考核结果，经查目标完成。并制定了管理方案，经查已完成，符合要求</w:t>
            </w:r>
            <w:r>
              <w:rPr>
                <w:rFonts w:hint="eastAsia"/>
                <w:b w:val="0"/>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3" w:hRule="atLeast"/>
          <w:jc w:val="center"/>
        </w:trPr>
        <w:tc>
          <w:tcPr>
            <w:tcW w:w="720" w:type="dxa"/>
            <w:vMerge w:val="continue"/>
            <w:textDirection w:val="tbRlV"/>
            <w:vAlign w:val="center"/>
          </w:tcPr>
          <w:p>
            <w:pPr>
              <w:spacing w:line="240" w:lineRule="exact"/>
              <w:ind w:left="113" w:right="113"/>
              <w:jc w:val="center"/>
              <w:rPr>
                <w:b w:val="0"/>
                <w:bCs/>
                <w:sz w:val="21"/>
                <w:szCs w:val="21"/>
              </w:rPr>
            </w:pPr>
          </w:p>
        </w:tc>
        <w:tc>
          <w:tcPr>
            <w:tcW w:w="9198" w:type="dxa"/>
          </w:tcPr>
          <w:p>
            <w:pPr>
              <w:spacing w:line="240" w:lineRule="exact"/>
              <w:ind w:left="105" w:hanging="105" w:hangingChars="50"/>
              <w:rPr>
                <w:rFonts w:hint="eastAsia" w:ascii="宋体" w:hAnsi="宋体"/>
                <w:b w:val="0"/>
                <w:bCs/>
                <w:sz w:val="21"/>
                <w:szCs w:val="21"/>
              </w:rPr>
            </w:pPr>
            <w:r>
              <w:rPr>
                <w:rFonts w:ascii="宋体" w:hAnsi="宋体"/>
                <w:b w:val="0"/>
                <w:bCs/>
                <w:sz w:val="21"/>
                <w:szCs w:val="21"/>
              </w:rPr>
              <w:t>2.</w:t>
            </w:r>
            <w:r>
              <w:rPr>
                <w:rFonts w:hint="eastAsia" w:ascii="宋体" w:hAnsi="宋体"/>
                <w:b w:val="0"/>
                <w:bCs/>
                <w:sz w:val="21"/>
                <w:szCs w:val="21"/>
              </w:rPr>
              <w:t>顾客满意</w:t>
            </w:r>
          </w:p>
          <w:p>
            <w:pPr>
              <w:spacing w:line="240" w:lineRule="exact"/>
              <w:ind w:left="100" w:hanging="105" w:hangingChars="50"/>
              <w:rPr>
                <w:rFonts w:ascii="宋体" w:hAnsi="宋体"/>
                <w:b w:val="0"/>
                <w:bCs/>
                <w:sz w:val="21"/>
                <w:szCs w:val="21"/>
              </w:rPr>
            </w:pPr>
            <w:r>
              <w:rPr>
                <w:rFonts w:hint="eastAsia"/>
                <w:b w:val="0"/>
                <w:bCs/>
                <w:sz w:val="21"/>
                <w:szCs w:val="21"/>
                <w:lang w:val="zh-CN"/>
              </w:rPr>
              <w:t>公司通过电话，走访等形式，接受顾客反馈，了解顾客顾客满意度信息，发放调查表对顾客满意度进行定量测量。提供“顾客满意程度调查表”，调查主要内容：</w:t>
            </w:r>
            <w:r>
              <w:rPr>
                <w:rFonts w:hint="eastAsia"/>
                <w:b w:val="0"/>
                <w:bCs/>
                <w:sz w:val="21"/>
                <w:szCs w:val="21"/>
              </w:rPr>
              <w:t>质量、价格、外观、服务等方面的满意程度</w:t>
            </w:r>
            <w:r>
              <w:rPr>
                <w:rFonts w:hint="eastAsia"/>
                <w:b w:val="0"/>
                <w:bCs/>
                <w:sz w:val="21"/>
                <w:szCs w:val="21"/>
                <w:lang w:val="zh-CN"/>
              </w:rPr>
              <w:t>等，</w:t>
            </w:r>
            <w:r>
              <w:rPr>
                <w:rFonts w:hint="eastAsia"/>
                <w:b w:val="0"/>
                <w:bCs/>
                <w:sz w:val="21"/>
                <w:szCs w:val="21"/>
              </w:rPr>
              <w:t>各项得分求平均值得最终结果</w:t>
            </w:r>
            <w:r>
              <w:rPr>
                <w:rFonts w:hint="eastAsia"/>
                <w:b w:val="0"/>
                <w:bCs/>
                <w:sz w:val="21"/>
                <w:szCs w:val="21"/>
                <w:lang w:val="zh-CN"/>
              </w:rPr>
              <w:t>。</w:t>
            </w:r>
            <w:r>
              <w:rPr>
                <w:rFonts w:hint="eastAsia"/>
                <w:b w:val="0"/>
                <w:bCs/>
                <w:sz w:val="21"/>
                <w:szCs w:val="21"/>
              </w:rPr>
              <w:t>提供顾客满意调查分析。最终顾客满意率98分，满足质量目标要求顾客满意度≥95分的要求。该结果已提交管理评审。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9" w:hRule="atLeast"/>
          <w:jc w:val="center"/>
        </w:trPr>
        <w:tc>
          <w:tcPr>
            <w:tcW w:w="720" w:type="dxa"/>
            <w:vMerge w:val="continue"/>
            <w:textDirection w:val="tbRlV"/>
            <w:vAlign w:val="center"/>
          </w:tcPr>
          <w:p>
            <w:pPr>
              <w:spacing w:line="240" w:lineRule="exact"/>
              <w:ind w:left="113" w:right="113"/>
              <w:jc w:val="center"/>
              <w:rPr>
                <w:b w:val="0"/>
                <w:bCs/>
                <w:sz w:val="21"/>
                <w:szCs w:val="21"/>
              </w:rPr>
            </w:pPr>
          </w:p>
        </w:tc>
        <w:tc>
          <w:tcPr>
            <w:tcW w:w="9198" w:type="dxa"/>
          </w:tcPr>
          <w:p>
            <w:pPr>
              <w:spacing w:line="240" w:lineRule="exact"/>
              <w:rPr>
                <w:rFonts w:hint="default" w:ascii="宋体" w:hAnsi="宋体" w:eastAsia="宋体"/>
                <w:b w:val="0"/>
                <w:bCs/>
                <w:sz w:val="21"/>
                <w:szCs w:val="21"/>
                <w:lang w:val="en-US" w:eastAsia="zh-CN"/>
              </w:rPr>
            </w:pPr>
            <w:r>
              <w:rPr>
                <w:rFonts w:ascii="宋体" w:hAnsi="宋体"/>
                <w:b w:val="0"/>
                <w:bCs/>
                <w:sz w:val="21"/>
                <w:szCs w:val="21"/>
              </w:rPr>
              <w:t xml:space="preserve">3. </w:t>
            </w:r>
            <w:r>
              <w:rPr>
                <w:rFonts w:hint="eastAsia" w:ascii="宋体" w:hAnsi="宋体"/>
                <w:b w:val="0"/>
                <w:bCs/>
                <w:sz w:val="21"/>
                <w:szCs w:val="21"/>
              </w:rPr>
              <w:t>内审</w:t>
            </w:r>
          </w:p>
          <w:p>
            <w:pPr>
              <w:spacing w:line="240" w:lineRule="exact"/>
              <w:ind w:firstLine="420" w:firstLineChars="200"/>
              <w:rPr>
                <w:b w:val="0"/>
                <w:bCs/>
                <w:color w:val="000000" w:themeColor="text1"/>
                <w:spacing w:val="-8"/>
                <w:sz w:val="21"/>
                <w:szCs w:val="21"/>
              </w:rPr>
            </w:pPr>
            <w:r>
              <w:rPr>
                <w:rFonts w:hint="eastAsia"/>
                <w:b w:val="0"/>
                <w:bCs/>
                <w:sz w:val="21"/>
                <w:szCs w:val="21"/>
              </w:rPr>
              <w:t>按照策划的安排于</w:t>
            </w:r>
            <w:r>
              <w:rPr>
                <w:b w:val="0"/>
                <w:bCs/>
                <w:sz w:val="21"/>
                <w:szCs w:val="21"/>
              </w:rPr>
              <w:t>20</w:t>
            </w:r>
            <w:r>
              <w:rPr>
                <w:rFonts w:hint="eastAsia"/>
                <w:b w:val="0"/>
                <w:bCs/>
                <w:sz w:val="21"/>
                <w:szCs w:val="21"/>
              </w:rPr>
              <w:t>20年1月11日进行了一次集中式的内部审核，经查阅资料及与管代沟通，内审员没有审核自己的工作，查阅内审记录，符合策划安排，提出1项不符合，在综合部7.2条款，责任部门进行了分析原因、采取纠正/纠正措施并验证了有效性，内审报告中对管理体系的符合性、充分性和运行有效性进行了评价。内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8" w:hRule="atLeast"/>
          <w:jc w:val="center"/>
        </w:trPr>
        <w:tc>
          <w:tcPr>
            <w:tcW w:w="720" w:type="dxa"/>
            <w:vMerge w:val="continue"/>
            <w:textDirection w:val="tbRlV"/>
            <w:vAlign w:val="center"/>
          </w:tcPr>
          <w:p>
            <w:pPr>
              <w:spacing w:line="240" w:lineRule="exact"/>
              <w:ind w:left="113" w:right="113"/>
              <w:jc w:val="center"/>
              <w:rPr>
                <w:b w:val="0"/>
                <w:bCs/>
                <w:sz w:val="21"/>
                <w:szCs w:val="21"/>
              </w:rPr>
            </w:pPr>
          </w:p>
        </w:tc>
        <w:tc>
          <w:tcPr>
            <w:tcW w:w="9198" w:type="dxa"/>
          </w:tcPr>
          <w:p>
            <w:pPr>
              <w:spacing w:line="240" w:lineRule="exact"/>
              <w:rPr>
                <w:rFonts w:ascii="宋体" w:hAnsi="宋体"/>
                <w:b w:val="0"/>
                <w:bCs/>
                <w:sz w:val="21"/>
                <w:szCs w:val="21"/>
              </w:rPr>
            </w:pPr>
            <w:r>
              <w:rPr>
                <w:rFonts w:ascii="宋体" w:hAnsi="宋体"/>
                <w:b w:val="0"/>
                <w:bCs/>
                <w:sz w:val="21"/>
                <w:szCs w:val="21"/>
              </w:rPr>
              <w:t>4.</w:t>
            </w:r>
            <w:r>
              <w:rPr>
                <w:rFonts w:hint="eastAsia" w:ascii="宋体" w:hAnsi="宋体"/>
                <w:b w:val="0"/>
                <w:bCs/>
                <w:sz w:val="21"/>
                <w:szCs w:val="21"/>
              </w:rPr>
              <w:t>管理评审</w:t>
            </w:r>
          </w:p>
          <w:p>
            <w:pPr>
              <w:spacing w:line="240" w:lineRule="exact"/>
              <w:ind w:firstLine="420" w:firstLineChars="200"/>
              <w:rPr>
                <w:rFonts w:ascii="宋体" w:hAnsi="宋体"/>
                <w:b w:val="0"/>
                <w:bCs/>
                <w:sz w:val="21"/>
                <w:szCs w:val="21"/>
              </w:rPr>
            </w:pPr>
            <w:r>
              <w:rPr>
                <w:rFonts w:hint="eastAsia"/>
                <w:b w:val="0"/>
                <w:bCs/>
                <w:sz w:val="21"/>
                <w:szCs w:val="21"/>
              </w:rPr>
              <w:t>按照策划的安排于</w:t>
            </w:r>
            <w:r>
              <w:rPr>
                <w:b w:val="0"/>
                <w:bCs/>
                <w:sz w:val="21"/>
                <w:szCs w:val="21"/>
              </w:rPr>
              <w:t>20</w:t>
            </w:r>
            <w:r>
              <w:rPr>
                <w:rFonts w:hint="eastAsia"/>
                <w:b w:val="0"/>
                <w:bCs/>
                <w:sz w:val="21"/>
                <w:szCs w:val="21"/>
              </w:rPr>
              <w:t>20</w:t>
            </w:r>
            <w:r>
              <w:rPr>
                <w:rFonts w:hint="eastAsia" w:cs="宋体"/>
                <w:b w:val="0"/>
                <w:bCs/>
                <w:sz w:val="21"/>
                <w:szCs w:val="21"/>
              </w:rPr>
              <w:t>年</w:t>
            </w:r>
            <w:r>
              <w:rPr>
                <w:rFonts w:hint="eastAsia"/>
                <w:b w:val="0"/>
                <w:bCs/>
                <w:sz w:val="21"/>
                <w:szCs w:val="21"/>
              </w:rPr>
              <w:t>1</w:t>
            </w:r>
            <w:r>
              <w:rPr>
                <w:rFonts w:hint="eastAsia" w:cs="宋体"/>
                <w:b w:val="0"/>
                <w:bCs/>
                <w:sz w:val="21"/>
                <w:szCs w:val="21"/>
              </w:rPr>
              <w:t>月20日</w:t>
            </w:r>
            <w:r>
              <w:rPr>
                <w:rFonts w:hint="eastAsia"/>
                <w:b w:val="0"/>
                <w:bCs/>
                <w:sz w:val="21"/>
                <w:szCs w:val="21"/>
              </w:rPr>
              <w:t>进行了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720" w:type="dxa"/>
            <w:vMerge w:val="continue"/>
            <w:vAlign w:val="center"/>
          </w:tcPr>
          <w:p>
            <w:pPr>
              <w:spacing w:line="240" w:lineRule="exact"/>
              <w:jc w:val="center"/>
              <w:rPr>
                <w:b w:val="0"/>
                <w:bCs/>
                <w:sz w:val="21"/>
                <w:szCs w:val="21"/>
              </w:rPr>
            </w:pPr>
          </w:p>
        </w:tc>
        <w:tc>
          <w:tcPr>
            <w:tcW w:w="9198" w:type="dxa"/>
          </w:tcPr>
          <w:p>
            <w:pPr>
              <w:spacing w:line="240" w:lineRule="exact"/>
              <w:rPr>
                <w:rFonts w:hint="eastAsia" w:ascii="宋体" w:hAnsi="宋体" w:eastAsia="宋体"/>
                <w:b w:val="0"/>
                <w:bCs/>
                <w:color w:val="auto"/>
                <w:sz w:val="21"/>
                <w:szCs w:val="21"/>
                <w:lang w:eastAsia="zh-CN"/>
              </w:rPr>
            </w:pPr>
            <w:r>
              <w:rPr>
                <w:rFonts w:ascii="宋体" w:hAnsi="宋体"/>
                <w:b w:val="0"/>
                <w:bCs/>
                <w:color w:val="auto"/>
                <w:sz w:val="21"/>
                <w:szCs w:val="21"/>
              </w:rPr>
              <w:t>5.  EMS</w:t>
            </w:r>
            <w:r>
              <w:rPr>
                <w:rFonts w:hint="eastAsia" w:ascii="宋体" w:hAnsi="宋体"/>
                <w:b w:val="0"/>
                <w:bCs/>
                <w:color w:val="auto"/>
                <w:sz w:val="21"/>
                <w:szCs w:val="21"/>
              </w:rPr>
              <w:t>是否按规定对主要污染物（污水、废气、噪声、废渣等）及排放实施了例行的监视或测量，结果是否满足相关要求？</w:t>
            </w:r>
            <w:r>
              <w:rPr>
                <w:rFonts w:hint="eastAsia" w:ascii="宋体" w:hAnsi="宋体"/>
                <w:b w:val="0"/>
                <w:bCs/>
                <w:color w:val="auto"/>
                <w:sz w:val="21"/>
                <w:szCs w:val="21"/>
                <w:lang w:eastAsia="zh-CN"/>
              </w:rPr>
              <w:t>是，满足要求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720" w:type="dxa"/>
            <w:vMerge w:val="continue"/>
            <w:vAlign w:val="center"/>
          </w:tcPr>
          <w:p>
            <w:pPr>
              <w:spacing w:line="240" w:lineRule="exact"/>
              <w:jc w:val="center"/>
              <w:rPr>
                <w:b w:val="0"/>
                <w:bCs/>
                <w:sz w:val="21"/>
                <w:szCs w:val="21"/>
              </w:rPr>
            </w:pPr>
          </w:p>
        </w:tc>
        <w:tc>
          <w:tcPr>
            <w:tcW w:w="9198" w:type="dxa"/>
          </w:tcPr>
          <w:p>
            <w:pPr>
              <w:spacing w:line="240" w:lineRule="exact"/>
              <w:ind w:left="105" w:hanging="105" w:hangingChars="50"/>
              <w:rPr>
                <w:rFonts w:hint="eastAsia" w:ascii="宋体" w:hAnsi="宋体" w:eastAsia="宋体"/>
                <w:b w:val="0"/>
                <w:bCs/>
                <w:color w:val="auto"/>
                <w:sz w:val="21"/>
                <w:szCs w:val="21"/>
                <w:lang w:eastAsia="zh-CN"/>
              </w:rPr>
            </w:pPr>
            <w:r>
              <w:rPr>
                <w:rFonts w:ascii="宋体" w:hAnsi="宋体"/>
                <w:b w:val="0"/>
                <w:bCs/>
                <w:color w:val="auto"/>
                <w:sz w:val="21"/>
                <w:szCs w:val="21"/>
              </w:rPr>
              <w:t>6.  EMS</w:t>
            </w:r>
            <w:r>
              <w:rPr>
                <w:rFonts w:hint="eastAsia" w:ascii="宋体" w:hAnsi="宋体"/>
                <w:b w:val="0"/>
                <w:bCs/>
                <w:color w:val="auto"/>
                <w:sz w:val="21"/>
                <w:szCs w:val="21"/>
              </w:rPr>
              <w:t>国家</w:t>
            </w:r>
            <w:r>
              <w:rPr>
                <w:rFonts w:ascii="宋体" w:hAnsi="宋体"/>
                <w:b w:val="0"/>
                <w:bCs/>
                <w:color w:val="auto"/>
                <w:sz w:val="21"/>
                <w:szCs w:val="21"/>
              </w:rPr>
              <w:t>/</w:t>
            </w:r>
            <w:r>
              <w:rPr>
                <w:rFonts w:hint="eastAsia" w:ascii="宋体" w:hAnsi="宋体"/>
                <w:b w:val="0"/>
                <w:bCs/>
                <w:color w:val="auto"/>
                <w:sz w:val="21"/>
                <w:szCs w:val="21"/>
              </w:rPr>
              <w:t>地方环保部门监测结果、新改扩建项目符合环评报告、三同时验收报告要求情况及措施</w:t>
            </w:r>
            <w:r>
              <w:rPr>
                <w:rFonts w:ascii="宋体" w:hAnsi="宋体"/>
                <w:b w:val="0"/>
                <w:bCs/>
                <w:color w:val="auto"/>
                <w:sz w:val="21"/>
                <w:szCs w:val="21"/>
              </w:rPr>
              <w:t>(98</w:t>
            </w:r>
            <w:r>
              <w:rPr>
                <w:rFonts w:hint="eastAsia" w:ascii="宋体" w:hAnsi="宋体"/>
                <w:b w:val="0"/>
                <w:bCs/>
                <w:color w:val="auto"/>
                <w:sz w:val="21"/>
                <w:szCs w:val="21"/>
              </w:rPr>
              <w:t>年后</w:t>
            </w:r>
            <w:r>
              <w:rPr>
                <w:rFonts w:ascii="宋体" w:hAnsi="宋体"/>
                <w:b w:val="0"/>
                <w:bCs/>
                <w:color w:val="auto"/>
                <w:sz w:val="21"/>
                <w:szCs w:val="21"/>
              </w:rPr>
              <w:t xml:space="preserve">) </w:t>
            </w:r>
            <w:r>
              <w:rPr>
                <w:rFonts w:hint="eastAsia" w:ascii="宋体" w:hAnsi="宋体"/>
                <w:b w:val="0"/>
                <w:bCs/>
                <w:color w:val="auto"/>
                <w:sz w:val="21"/>
                <w:szCs w:val="21"/>
                <w:lang w:eastAsia="zh-CN"/>
              </w:rPr>
              <w:t>：不涉及</w:t>
            </w:r>
          </w:p>
          <w:p>
            <w:pPr>
              <w:spacing w:line="240" w:lineRule="exact"/>
              <w:rPr>
                <w:rFonts w:ascii="宋体" w:hAnsi="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 w:hRule="atLeast"/>
          <w:jc w:val="center"/>
        </w:trPr>
        <w:tc>
          <w:tcPr>
            <w:tcW w:w="720" w:type="dxa"/>
            <w:vMerge w:val="continue"/>
            <w:vAlign w:val="center"/>
          </w:tcPr>
          <w:p>
            <w:pPr>
              <w:spacing w:line="240" w:lineRule="exact"/>
              <w:jc w:val="center"/>
              <w:rPr>
                <w:b w:val="0"/>
                <w:bCs/>
                <w:sz w:val="21"/>
                <w:szCs w:val="21"/>
              </w:rPr>
            </w:pPr>
          </w:p>
        </w:tc>
        <w:tc>
          <w:tcPr>
            <w:tcW w:w="9198" w:type="dxa"/>
          </w:tcPr>
          <w:p>
            <w:pPr>
              <w:spacing w:line="240" w:lineRule="exact"/>
              <w:ind w:left="105" w:hanging="105" w:hangingChars="50"/>
              <w:rPr>
                <w:rFonts w:ascii="宋体" w:hAnsi="宋体"/>
                <w:b w:val="0"/>
                <w:bCs/>
                <w:color w:val="auto"/>
                <w:sz w:val="21"/>
                <w:szCs w:val="21"/>
              </w:rPr>
            </w:pPr>
            <w:r>
              <w:rPr>
                <w:rFonts w:ascii="宋体" w:hAnsi="宋体"/>
                <w:b w:val="0"/>
                <w:bCs/>
                <w:color w:val="auto"/>
                <w:sz w:val="21"/>
                <w:szCs w:val="21"/>
              </w:rPr>
              <w:t>7. OHSMS</w:t>
            </w:r>
            <w:r>
              <w:rPr>
                <w:rFonts w:hint="eastAsia" w:ascii="宋体" w:hAnsi="宋体"/>
                <w:b w:val="0"/>
                <w:bCs/>
                <w:color w:val="auto"/>
                <w:sz w:val="21"/>
                <w:szCs w:val="21"/>
              </w:rPr>
              <w:t>是否按规定对职业健康安全项目进行定期测量，结果是否满足相关要求：</w:t>
            </w:r>
            <w:r>
              <w:rPr>
                <w:rFonts w:hint="eastAsia" w:ascii="宋体" w:hAnsi="宋体"/>
                <w:b w:val="0"/>
                <w:bCs/>
                <w:color w:val="auto"/>
                <w:sz w:val="21"/>
                <w:szCs w:val="21"/>
                <w:lang w:eastAsia="zh-CN"/>
              </w:rPr>
              <w:t>是，满足要求</w:t>
            </w:r>
          </w:p>
          <w:p>
            <w:pPr>
              <w:spacing w:line="240" w:lineRule="exact"/>
              <w:rPr>
                <w:rFonts w:ascii="宋体" w:hAnsi="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720" w:type="dxa"/>
            <w:vMerge w:val="continue"/>
            <w:vAlign w:val="center"/>
          </w:tcPr>
          <w:p>
            <w:pPr>
              <w:spacing w:line="240" w:lineRule="exact"/>
              <w:jc w:val="center"/>
              <w:rPr>
                <w:b w:val="0"/>
                <w:bCs/>
                <w:sz w:val="21"/>
                <w:szCs w:val="21"/>
              </w:rPr>
            </w:pPr>
          </w:p>
        </w:tc>
        <w:tc>
          <w:tcPr>
            <w:tcW w:w="9198" w:type="dxa"/>
          </w:tcPr>
          <w:p>
            <w:pPr>
              <w:numPr>
                <w:ilvl w:val="0"/>
                <w:numId w:val="1"/>
              </w:numPr>
              <w:spacing w:line="280" w:lineRule="exact"/>
              <w:ind w:left="0" w:leftChars="0" w:firstLine="0" w:firstLineChars="0"/>
              <w:rPr>
                <w:rFonts w:hint="eastAsia" w:ascii="宋体" w:hAnsi="宋体"/>
                <w:b w:val="0"/>
                <w:bCs/>
                <w:color w:val="auto"/>
                <w:sz w:val="21"/>
                <w:szCs w:val="21"/>
                <w:lang w:eastAsia="zh-CN"/>
              </w:rPr>
            </w:pPr>
            <w:r>
              <w:rPr>
                <w:rFonts w:ascii="宋体" w:hAnsi="宋体"/>
                <w:b w:val="0"/>
                <w:bCs/>
                <w:color w:val="auto"/>
                <w:sz w:val="21"/>
                <w:szCs w:val="21"/>
              </w:rPr>
              <w:t>OHSMS</w:t>
            </w:r>
            <w:r>
              <w:rPr>
                <w:rFonts w:hint="eastAsia" w:ascii="宋体" w:hAnsi="宋体"/>
                <w:b w:val="0"/>
                <w:bCs/>
                <w:color w:val="auto"/>
                <w:sz w:val="21"/>
                <w:szCs w:val="21"/>
              </w:rPr>
              <w:t>国家</w:t>
            </w:r>
            <w:r>
              <w:rPr>
                <w:rFonts w:ascii="宋体" w:hAnsi="宋体"/>
                <w:b w:val="0"/>
                <w:bCs/>
                <w:color w:val="auto"/>
                <w:sz w:val="21"/>
                <w:szCs w:val="21"/>
              </w:rPr>
              <w:t>/</w:t>
            </w:r>
            <w:r>
              <w:rPr>
                <w:rFonts w:hint="eastAsia" w:ascii="宋体" w:hAnsi="宋体"/>
                <w:b w:val="0"/>
                <w:bCs/>
                <w:color w:val="auto"/>
                <w:sz w:val="21"/>
                <w:szCs w:val="21"/>
              </w:rPr>
              <w:t>地方职业健康安全部门监督检查情况及措施</w:t>
            </w:r>
            <w:r>
              <w:rPr>
                <w:rFonts w:hint="eastAsia" w:ascii="宋体" w:hAnsi="宋体"/>
                <w:b w:val="0"/>
                <w:bCs/>
                <w:color w:val="auto"/>
                <w:sz w:val="21"/>
                <w:szCs w:val="21"/>
                <w:lang w:eastAsia="zh-CN"/>
              </w:rPr>
              <w:t>：</w:t>
            </w:r>
          </w:p>
          <w:p>
            <w:pPr>
              <w:numPr>
                <w:ilvl w:val="0"/>
                <w:numId w:val="0"/>
              </w:numPr>
              <w:spacing w:line="280" w:lineRule="exact"/>
              <w:ind w:lef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暂时没有国家/地方抽查情况。</w:t>
            </w:r>
          </w:p>
          <w:p>
            <w:pPr>
              <w:spacing w:line="28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目前没有相关行政主管部门的检查处罚，在审核现场也未发现抽查、相关方投诉等情况。</w:t>
            </w:r>
          </w:p>
          <w:p>
            <w:pPr>
              <w:spacing w:line="240" w:lineRule="exact"/>
              <w:rPr>
                <w:rFonts w:hint="eastAsia" w:ascii="宋体" w:hAnsi="宋体" w:eastAsia="宋体"/>
                <w:b w:val="0"/>
                <w:bCs/>
                <w:color w:val="auto"/>
                <w:sz w:val="21"/>
                <w:szCs w:val="21"/>
                <w:lang w:eastAsia="zh-CN"/>
              </w:rPr>
            </w:pPr>
            <w:r>
              <w:rPr>
                <w:rFonts w:hint="eastAsia" w:asciiTheme="minorEastAsia" w:hAnsiTheme="minorEastAsia" w:eastAsiaTheme="minorEastAsia" w:cstheme="minorEastAsia"/>
                <w:color w:val="auto"/>
                <w:sz w:val="21"/>
                <w:szCs w:val="21"/>
              </w:rPr>
              <w:t>提供了组织营业执照均为有效。见附件。</w:t>
            </w:r>
          </w:p>
          <w:p>
            <w:pPr>
              <w:spacing w:line="240" w:lineRule="exact"/>
              <w:rPr>
                <w:rFonts w:ascii="宋体" w:hAnsi="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20" w:type="dxa"/>
            <w:vMerge w:val="continue"/>
            <w:vAlign w:val="center"/>
          </w:tcPr>
          <w:p>
            <w:pPr>
              <w:spacing w:line="240" w:lineRule="exact"/>
              <w:jc w:val="center"/>
              <w:rPr>
                <w:b w:val="0"/>
                <w:bCs/>
                <w:sz w:val="21"/>
                <w:szCs w:val="21"/>
              </w:rPr>
            </w:pPr>
          </w:p>
        </w:tc>
        <w:tc>
          <w:tcPr>
            <w:tcW w:w="9198" w:type="dxa"/>
          </w:tcPr>
          <w:p>
            <w:pPr>
              <w:widowControl/>
              <w:spacing w:line="240" w:lineRule="exact"/>
              <w:rPr>
                <w:rFonts w:hint="eastAsia" w:ascii="宋体" w:hAnsi="宋体" w:eastAsia="宋体"/>
                <w:b w:val="0"/>
                <w:bCs/>
                <w:sz w:val="21"/>
                <w:szCs w:val="21"/>
                <w:lang w:eastAsia="zh-CN"/>
              </w:rPr>
            </w:pPr>
            <w:r>
              <w:rPr>
                <w:rFonts w:ascii="宋体" w:hAnsi="宋体"/>
                <w:b w:val="0"/>
                <w:bCs/>
                <w:sz w:val="21"/>
                <w:szCs w:val="21"/>
              </w:rPr>
              <w:t xml:space="preserve">9. </w:t>
            </w:r>
            <w:r>
              <w:rPr>
                <w:rFonts w:hint="eastAsia" w:ascii="宋体" w:hAnsi="宋体"/>
                <w:b w:val="0"/>
                <w:bCs/>
                <w:sz w:val="21"/>
                <w:szCs w:val="21"/>
              </w:rPr>
              <w:t>其他能够标明组织绩效、信誉的证据</w:t>
            </w:r>
            <w:r>
              <w:rPr>
                <w:rFonts w:ascii="宋体" w:hAnsi="宋体"/>
                <w:b w:val="0"/>
                <w:bCs/>
                <w:sz w:val="21"/>
                <w:szCs w:val="21"/>
              </w:rPr>
              <w:t>/</w:t>
            </w:r>
            <w:r>
              <w:rPr>
                <w:rFonts w:hint="eastAsia" w:ascii="宋体" w:hAnsi="宋体"/>
                <w:b w:val="0"/>
                <w:bCs/>
                <w:sz w:val="21"/>
                <w:szCs w:val="21"/>
              </w:rPr>
              <w:t>信息：</w:t>
            </w:r>
            <w:r>
              <w:rPr>
                <w:rFonts w:hint="eastAsia" w:ascii="宋体" w:hAnsi="宋体"/>
                <w:b w:val="0"/>
                <w:bCs/>
                <w:sz w:val="21"/>
                <w:szCs w:val="21"/>
                <w:lang w:eastAsia="zh-CN"/>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val="0"/>
                <w:bCs/>
                <w:sz w:val="21"/>
                <w:szCs w:val="21"/>
              </w:rPr>
            </w:pPr>
            <w:r>
              <w:rPr>
                <w:rFonts w:hint="eastAsia" w:ascii="宋体" w:hAnsi="宋体"/>
                <w:b w:val="0"/>
                <w:bCs/>
                <w:sz w:val="21"/>
                <w:szCs w:val="21"/>
              </w:rPr>
              <w:t>(五)持</w:t>
            </w:r>
          </w:p>
          <w:p>
            <w:pPr>
              <w:spacing w:line="240" w:lineRule="exact"/>
              <w:ind w:left="113" w:right="113"/>
              <w:jc w:val="center"/>
              <w:rPr>
                <w:rFonts w:ascii="宋体" w:hAnsi="宋体"/>
                <w:b w:val="0"/>
                <w:bCs/>
                <w:sz w:val="21"/>
                <w:szCs w:val="21"/>
              </w:rPr>
            </w:pPr>
            <w:r>
              <w:rPr>
                <w:rFonts w:hint="eastAsia" w:ascii="宋体" w:hAnsi="宋体"/>
                <w:b w:val="0"/>
                <w:bCs/>
                <w:sz w:val="21"/>
                <w:szCs w:val="21"/>
              </w:rPr>
              <w:t>续</w:t>
            </w:r>
          </w:p>
          <w:p>
            <w:pPr>
              <w:spacing w:line="240" w:lineRule="exact"/>
              <w:ind w:left="113" w:right="113"/>
              <w:jc w:val="center"/>
              <w:rPr>
                <w:rFonts w:ascii="宋体" w:hAnsi="宋体"/>
                <w:b w:val="0"/>
                <w:bCs/>
                <w:sz w:val="21"/>
                <w:szCs w:val="21"/>
              </w:rPr>
            </w:pPr>
            <w:r>
              <w:rPr>
                <w:rFonts w:hint="eastAsia" w:ascii="宋体" w:hAnsi="宋体"/>
                <w:b w:val="0"/>
                <w:bCs/>
                <w:sz w:val="21"/>
                <w:szCs w:val="21"/>
              </w:rPr>
              <w:t>改</w:t>
            </w:r>
          </w:p>
          <w:p>
            <w:pPr>
              <w:spacing w:line="240" w:lineRule="exact"/>
              <w:ind w:left="113" w:right="113"/>
              <w:jc w:val="center"/>
              <w:rPr>
                <w:b w:val="0"/>
                <w:bCs/>
                <w:sz w:val="21"/>
                <w:szCs w:val="21"/>
              </w:rPr>
            </w:pPr>
            <w:r>
              <w:rPr>
                <w:rFonts w:hint="eastAsia" w:ascii="宋体" w:hAnsi="宋体"/>
                <w:b w:val="0"/>
                <w:bCs/>
                <w:sz w:val="21"/>
                <w:szCs w:val="21"/>
              </w:rPr>
              <w:t>进</w:t>
            </w:r>
          </w:p>
        </w:tc>
        <w:tc>
          <w:tcPr>
            <w:tcW w:w="9198" w:type="dxa"/>
          </w:tcPr>
          <w:p>
            <w:pPr>
              <w:spacing w:line="240" w:lineRule="exact"/>
              <w:rPr>
                <w:rFonts w:ascii="宋体" w:hAnsi="宋体"/>
                <w:b w:val="0"/>
                <w:bCs/>
                <w:sz w:val="21"/>
                <w:szCs w:val="21"/>
              </w:rPr>
            </w:pPr>
            <w:r>
              <w:rPr>
                <w:rFonts w:ascii="宋体" w:hAnsi="宋体"/>
                <w:b w:val="0"/>
                <w:bCs/>
                <w:sz w:val="21"/>
                <w:szCs w:val="21"/>
              </w:rPr>
              <w:t xml:space="preserve">1 </w:t>
            </w:r>
            <w:r>
              <w:rPr>
                <w:rFonts w:hint="eastAsia" w:ascii="宋体" w:hAnsi="宋体"/>
                <w:b w:val="0"/>
                <w:bCs/>
                <w:sz w:val="21"/>
                <w:szCs w:val="21"/>
              </w:rPr>
              <w:t>纠正措施的实施及效果</w:t>
            </w:r>
            <w:r>
              <w:rPr>
                <w:rFonts w:ascii="宋体" w:hAnsi="宋体"/>
                <w:b w:val="0"/>
                <w:bCs/>
                <w:sz w:val="21"/>
                <w:szCs w:val="21"/>
              </w:rPr>
              <w:t>;</w:t>
            </w:r>
          </w:p>
          <w:p>
            <w:pPr>
              <w:spacing w:line="240" w:lineRule="exact"/>
              <w:ind w:firstLine="420" w:firstLineChars="200"/>
              <w:rPr>
                <w:rFonts w:ascii="宋体" w:hAnsi="宋体"/>
                <w:b w:val="0"/>
                <w:bCs/>
                <w:sz w:val="21"/>
                <w:szCs w:val="21"/>
              </w:rPr>
            </w:pPr>
            <w:r>
              <w:rPr>
                <w:rFonts w:hint="eastAsia"/>
                <w:b w:val="0"/>
                <w:bCs/>
                <w:sz w:val="21"/>
                <w:szCs w:val="21"/>
              </w:rPr>
              <w:t>对内审提出的不符合进行原因分析，并完成了整改。对管理评审提出的不符合及改进要求，进行原因分析，制定了具体措施，目前正在实施中。纠正措施尚可，预防措施欠缺。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720" w:type="dxa"/>
            <w:vMerge w:val="continue"/>
            <w:vAlign w:val="center"/>
          </w:tcPr>
          <w:p>
            <w:pPr>
              <w:spacing w:line="240" w:lineRule="exact"/>
              <w:jc w:val="center"/>
              <w:rPr>
                <w:b w:val="0"/>
                <w:bCs/>
                <w:sz w:val="21"/>
                <w:szCs w:val="21"/>
              </w:rPr>
            </w:pPr>
          </w:p>
        </w:tc>
        <w:tc>
          <w:tcPr>
            <w:tcW w:w="9198" w:type="dxa"/>
          </w:tcPr>
          <w:p>
            <w:pPr>
              <w:spacing w:line="240" w:lineRule="exact"/>
              <w:rPr>
                <w:rFonts w:ascii="宋体" w:hAnsi="宋体"/>
                <w:b w:val="0"/>
                <w:bCs/>
                <w:sz w:val="21"/>
                <w:szCs w:val="21"/>
              </w:rPr>
            </w:pPr>
            <w:r>
              <w:rPr>
                <w:rFonts w:ascii="宋体" w:hAnsi="宋体"/>
                <w:b w:val="0"/>
                <w:bCs/>
                <w:sz w:val="21"/>
                <w:szCs w:val="21"/>
              </w:rPr>
              <w:t>2.</w:t>
            </w:r>
            <w:r>
              <w:rPr>
                <w:rFonts w:hint="eastAsia" w:ascii="宋体" w:hAnsi="宋体"/>
                <w:b w:val="0"/>
                <w:bCs/>
                <w:sz w:val="21"/>
                <w:szCs w:val="21"/>
              </w:rPr>
              <w:t>（上次审核后）重大事故、顾客</w:t>
            </w:r>
            <w:r>
              <w:rPr>
                <w:rFonts w:ascii="宋体" w:hAnsi="宋体"/>
                <w:b w:val="0"/>
                <w:bCs/>
                <w:sz w:val="21"/>
                <w:szCs w:val="21"/>
              </w:rPr>
              <w:t>/</w:t>
            </w:r>
            <w:r>
              <w:rPr>
                <w:rFonts w:hint="eastAsia" w:ascii="宋体" w:hAnsi="宋体"/>
                <w:b w:val="0"/>
                <w:bCs/>
                <w:sz w:val="21"/>
                <w:szCs w:val="21"/>
              </w:rPr>
              <w:t>相关方投诉：</w:t>
            </w:r>
          </w:p>
          <w:p>
            <w:pPr>
              <w:spacing w:line="240" w:lineRule="exact"/>
              <w:rPr>
                <w:rFonts w:ascii="宋体" w:hAnsi="宋体"/>
                <w:b w:val="0"/>
                <w:bCs/>
                <w:sz w:val="21"/>
                <w:szCs w:val="21"/>
              </w:rPr>
            </w:pPr>
            <w:r>
              <w:rPr>
                <w:rFonts w:ascii="宋体" w:hAnsi="宋体"/>
                <w:b w:val="0"/>
                <w:bCs/>
                <w:sz w:val="21"/>
                <w:szCs w:val="21"/>
              </w:rPr>
              <w:t>无</w:t>
            </w:r>
          </w:p>
          <w:p>
            <w:pPr>
              <w:spacing w:line="240" w:lineRule="exact"/>
              <w:rPr>
                <w:rFonts w:ascii="宋体" w:hAnsi="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720" w:type="dxa"/>
            <w:vMerge w:val="continue"/>
            <w:vAlign w:val="center"/>
          </w:tcPr>
          <w:p>
            <w:pPr>
              <w:spacing w:line="240" w:lineRule="exact"/>
              <w:jc w:val="center"/>
              <w:rPr>
                <w:b w:val="0"/>
                <w:bCs/>
                <w:sz w:val="21"/>
                <w:szCs w:val="21"/>
              </w:rPr>
            </w:pPr>
          </w:p>
        </w:tc>
        <w:tc>
          <w:tcPr>
            <w:tcW w:w="9198" w:type="dxa"/>
          </w:tcPr>
          <w:p>
            <w:pPr>
              <w:spacing w:line="240" w:lineRule="exact"/>
              <w:rPr>
                <w:rFonts w:hint="eastAsia" w:ascii="宋体" w:hAnsi="宋体" w:eastAsia="宋体"/>
                <w:b w:val="0"/>
                <w:bCs/>
                <w:sz w:val="21"/>
                <w:szCs w:val="21"/>
                <w:lang w:eastAsia="zh-CN"/>
              </w:rPr>
            </w:pPr>
            <w:r>
              <w:rPr>
                <w:rFonts w:ascii="宋体" w:hAnsi="宋体"/>
                <w:b w:val="0"/>
                <w:bCs/>
                <w:sz w:val="21"/>
                <w:szCs w:val="21"/>
              </w:rPr>
              <w:t xml:space="preserve">3. </w:t>
            </w:r>
            <w:r>
              <w:rPr>
                <w:rFonts w:hint="eastAsia" w:ascii="宋体" w:hAnsi="宋体"/>
                <w:b w:val="0"/>
                <w:bCs/>
                <w:sz w:val="21"/>
                <w:szCs w:val="21"/>
              </w:rPr>
              <w:t>创新情况：</w:t>
            </w:r>
            <w:r>
              <w:rPr>
                <w:rFonts w:hint="eastAsia" w:ascii="宋体" w:hAnsi="宋体"/>
                <w:b w:val="0"/>
                <w:bCs/>
                <w:sz w:val="21"/>
                <w:szCs w:val="21"/>
                <w:lang w:eastAsia="zh-CN"/>
              </w:rPr>
              <w:t>暂无</w:t>
            </w:r>
          </w:p>
          <w:p>
            <w:pPr>
              <w:spacing w:line="240" w:lineRule="exact"/>
              <w:rPr>
                <w:rFonts w:ascii="宋体" w:hAnsi="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val="0"/>
                <w:bCs/>
                <w:sz w:val="21"/>
                <w:szCs w:val="21"/>
              </w:rPr>
            </w:pPr>
          </w:p>
        </w:tc>
        <w:tc>
          <w:tcPr>
            <w:tcW w:w="9198" w:type="dxa"/>
          </w:tcPr>
          <w:p>
            <w:pPr>
              <w:numPr>
                <w:ilvl w:val="0"/>
                <w:numId w:val="5"/>
              </w:numPr>
              <w:spacing w:line="240" w:lineRule="exact"/>
              <w:rPr>
                <w:rFonts w:hint="eastAsia" w:ascii="宋体" w:hAnsi="宋体"/>
                <w:b w:val="0"/>
                <w:bCs/>
                <w:sz w:val="21"/>
                <w:szCs w:val="21"/>
                <w:lang w:eastAsia="zh-CN"/>
              </w:rPr>
            </w:pPr>
            <w:r>
              <w:rPr>
                <w:rFonts w:hint="eastAsia" w:ascii="宋体" w:hAnsi="宋体"/>
                <w:b w:val="0"/>
                <w:bCs/>
                <w:sz w:val="21"/>
                <w:szCs w:val="21"/>
              </w:rPr>
              <w:t>上次不符合的整改情况</w:t>
            </w:r>
            <w:r>
              <w:rPr>
                <w:rFonts w:hint="eastAsia" w:ascii="宋体" w:hAnsi="宋体"/>
                <w:b w:val="0"/>
                <w:bCs/>
                <w:sz w:val="21"/>
                <w:szCs w:val="21"/>
                <w:lang w:eastAsia="zh-CN"/>
              </w:rPr>
              <w:t>：</w:t>
            </w:r>
          </w:p>
          <w:p>
            <w:pPr>
              <w:numPr>
                <w:ilvl w:val="0"/>
                <w:numId w:val="0"/>
              </w:numPr>
              <w:spacing w:line="240" w:lineRule="exact"/>
              <w:ind w:firstLine="630" w:firstLineChars="300"/>
              <w:rPr>
                <w:rFonts w:ascii="宋体" w:hAnsi="宋体"/>
                <w:b w:val="0"/>
                <w:bCs/>
                <w:sz w:val="21"/>
                <w:szCs w:val="21"/>
              </w:rPr>
            </w:pPr>
            <w:r>
              <w:rPr>
                <w:rFonts w:hint="eastAsia" w:ascii="宋体" w:hAnsi="宋体"/>
                <w:b w:val="0"/>
                <w:bCs/>
                <w:sz w:val="21"/>
                <w:szCs w:val="21"/>
                <w:lang w:eastAsia="zh-CN"/>
              </w:rPr>
              <w:t>已经完成，未再次发生类似问题。</w:t>
            </w:r>
          </w:p>
        </w:tc>
      </w:tr>
    </w:tbl>
    <w:p>
      <w:pPr>
        <w:tabs>
          <w:tab w:val="left" w:pos="645"/>
        </w:tabs>
        <w:spacing w:afterLines="50" w:line="360" w:lineRule="exact"/>
        <w:rPr>
          <w:b/>
          <w:sz w:val="26"/>
          <w:szCs w:val="26"/>
        </w:rPr>
      </w:pPr>
    </w:p>
    <w:p>
      <w:pPr>
        <w:tabs>
          <w:tab w:val="left" w:pos="645"/>
        </w:tabs>
        <w:spacing w:afterLines="50" w:line="360" w:lineRule="exact"/>
        <w:rPr>
          <w:b/>
          <w:sz w:val="16"/>
          <w:szCs w:val="16"/>
        </w:rPr>
      </w:pPr>
      <w:r>
        <w:rPr>
          <w:rFonts w:hint="eastAsia"/>
          <w:b/>
          <w:sz w:val="26"/>
          <w:szCs w:val="26"/>
        </w:rPr>
        <w:t>七、其它需要说明的问题</w:t>
      </w:r>
    </w:p>
    <w:p>
      <w:pPr>
        <w:snapToGrid w:val="0"/>
        <w:spacing w:line="360" w:lineRule="auto"/>
        <w:ind w:left="-211" w:leftChars="-88" w:firstLine="537" w:firstLineChars="223"/>
        <w:rPr>
          <w:rFonts w:hint="eastAsia" w:ascii="宋体" w:eastAsia="宋体"/>
          <w:b/>
          <w:szCs w:val="21"/>
          <w:lang w:eastAsia="zh-CN"/>
        </w:rPr>
      </w:pPr>
      <w:r>
        <w:rPr>
          <w:rFonts w:hint="eastAsia" w:ascii="宋体" w:hAnsi="宋体"/>
          <w:b/>
          <w:szCs w:val="21"/>
        </w:rPr>
        <w:t>可能影响本次审核结论可靠性的因素：</w:t>
      </w:r>
      <w:r>
        <w:rPr>
          <w:rFonts w:hint="eastAsia" w:ascii="宋体" w:hAnsi="宋体"/>
          <w:b/>
          <w:szCs w:val="21"/>
          <w:lang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F0A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Lines="50"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1028" o:spt="20" style="position:absolute;left:0pt;margin-left:210pt;margin-top:16.2pt;height:0pt;width:0.05pt;z-index:251657216;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hint="eastAsia"/>
              </w:rPr>
            </w:pPr>
            <w:r>
              <w:t>1.</w:t>
            </w:r>
            <w:r>
              <w:rPr>
                <w:rFonts w:hint="eastAsia"/>
              </w:rPr>
              <w:sym w:font="Wingdings 2" w:char="0052"/>
            </w:r>
            <w:r>
              <w:t>QMS</w:t>
            </w:r>
            <w:r>
              <w:rPr>
                <w:rFonts w:hint="eastAsia"/>
              </w:rPr>
              <w:sym w:font="Wingdings 2" w:char="0052"/>
            </w:r>
            <w:r>
              <w:t xml:space="preserve">EMS  </w:t>
            </w:r>
            <w:r>
              <w:rPr>
                <w:rFonts w:hint="eastAsia"/>
              </w:rPr>
              <w:sym w:font="Wingdings 2" w:char="0052"/>
            </w:r>
            <w:r>
              <w:t>OHSMS</w:t>
            </w:r>
            <w:r>
              <w:rPr>
                <w:rFonts w:hint="eastAsia"/>
              </w:rPr>
              <w:t>的适宜性、充分性、运行有效性，自我完善机制等，管理体系满足适用要求和实现预期结果的能力。</w:t>
            </w:r>
          </w:p>
          <w:p>
            <w:pPr>
              <w:spacing w:line="280" w:lineRule="exact"/>
              <w:rPr>
                <w:rFonts w:hint="eastAsia"/>
              </w:rPr>
            </w:pPr>
          </w:p>
          <w:p>
            <w:pPr>
              <w:spacing w:line="280" w:lineRule="exact"/>
              <w:ind w:firstLine="480" w:firstLineChars="200"/>
              <w:rPr>
                <w:rFonts w:hint="eastAsia"/>
                <w:szCs w:val="22"/>
                <w:lang w:eastAsia="zh-CN"/>
              </w:rPr>
            </w:pPr>
            <w:r>
              <w:rPr>
                <w:rFonts w:hint="eastAsia"/>
              </w:rPr>
              <w:t>组织的</w:t>
            </w:r>
            <w:r>
              <w:rPr>
                <w:rFonts w:hint="eastAsia"/>
                <w:szCs w:val="22"/>
              </w:rPr>
              <w:t>管理体系在认证周期内持续对过程控制的</w:t>
            </w:r>
            <w:r>
              <w:rPr>
                <w:rFonts w:hint="eastAsia"/>
                <w:szCs w:val="22"/>
                <w:lang w:eastAsia="zh-CN"/>
              </w:rPr>
              <w:t>处于可控状态</w:t>
            </w:r>
            <w:r>
              <w:rPr>
                <w:rFonts w:hint="eastAsia"/>
                <w:szCs w:val="22"/>
              </w:rPr>
              <w:t>，</w:t>
            </w:r>
            <w:r>
              <w:rPr>
                <w:rFonts w:hint="eastAsia"/>
                <w:szCs w:val="22"/>
                <w:lang w:eastAsia="zh-CN"/>
              </w:rPr>
              <w:t>能够</w:t>
            </w:r>
            <w:r>
              <w:rPr>
                <w:rFonts w:hint="eastAsia"/>
                <w:szCs w:val="22"/>
              </w:rPr>
              <w:t>持续满足标准要求和目标方面的有效性，向顾客提供稳定、合格产品，满足适用的环境/职业健康安全法规、防止污染、重大事故和持续改进而策划的活动</w:t>
            </w:r>
            <w:r>
              <w:rPr>
                <w:rFonts w:hint="eastAsia"/>
                <w:szCs w:val="22"/>
                <w:lang w:eastAsia="zh-CN"/>
              </w:rPr>
              <w:t>。</w:t>
            </w:r>
          </w:p>
          <w:p>
            <w:pPr>
              <w:spacing w:line="280" w:lineRule="exact"/>
              <w:ind w:firstLine="480" w:firstLineChars="200"/>
              <w:rPr>
                <w:rFonts w:hint="default"/>
                <w:lang w:val="en-US"/>
              </w:rPr>
            </w:pPr>
            <w:r>
              <w:rPr>
                <w:rFonts w:hint="eastAsia"/>
                <w:szCs w:val="22"/>
                <w:lang w:val="en-US" w:eastAsia="zh-CN"/>
              </w:rPr>
              <w:t xml:space="preserve">   推荐保持证书。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sym w:font="Wingdings 2" w:char="00A3"/>
            </w:r>
            <w:r>
              <w:rPr>
                <w:rFonts w:hint="eastAsia" w:ascii="宋体" w:hAnsi="宋体"/>
                <w:b/>
                <w:szCs w:val="21"/>
              </w:rPr>
              <w:t>推荐保持（</w:t>
            </w:r>
            <w:r>
              <w:rPr>
                <w:rFonts w:hint="eastAsia" w:ascii="宋体" w:hAnsi="宋体"/>
                <w:b/>
                <w:szCs w:val="21"/>
              </w:rPr>
              <w:sym w:font="Wingdings 2" w:char="00A3"/>
            </w:r>
            <w:r>
              <w:rPr>
                <w:rFonts w:ascii="宋体" w:hAnsi="宋体"/>
                <w:b/>
                <w:szCs w:val="21"/>
              </w:rPr>
              <w:t>QMS</w:t>
            </w:r>
            <w:r>
              <w:rPr>
                <w:rFonts w:hint="eastAsia" w:ascii="宋体" w:hAnsi="宋体"/>
                <w:b/>
                <w:szCs w:val="21"/>
                <w:lang w:val="en-US" w:eastAsia="zh-CN"/>
              </w:rPr>
              <w:t xml:space="preserve">  </w:t>
            </w:r>
            <w:r>
              <w:rPr>
                <w:rFonts w:hint="eastAsia" w:ascii="宋体" w:hAnsi="宋体"/>
                <w:b/>
                <w:szCs w:val="21"/>
              </w:rPr>
              <w:sym w:font="Wingdings 2" w:char="00A3"/>
            </w:r>
            <w:r>
              <w:rPr>
                <w:rFonts w:ascii="宋体" w:hAnsi="宋体"/>
                <w:b/>
                <w:szCs w:val="21"/>
              </w:rPr>
              <w:t xml:space="preserve">EMS  </w:t>
            </w:r>
            <w:r>
              <w:rPr>
                <w:rFonts w:hint="eastAsia" w:ascii="宋体" w:hAnsi="宋体"/>
                <w:b/>
                <w:szCs w:val="21"/>
              </w:rPr>
              <w:sym w:font="Wingdings 2" w:char="00A3"/>
            </w:r>
            <w:r>
              <w:rPr>
                <w:rFonts w:ascii="宋体" w:hAnsi="宋体"/>
                <w:b/>
                <w:szCs w:val="21"/>
              </w:rPr>
              <w:t>OHSMS</w:t>
            </w:r>
          </w:p>
          <w:p>
            <w:pPr>
              <w:spacing w:line="280" w:lineRule="exact"/>
              <w:ind w:firstLine="361" w:firstLineChars="150"/>
              <w:rPr>
                <w:rFonts w:hint="eastAsia" w:ascii="宋体" w:hAnsi="宋体" w:eastAsia="宋体"/>
                <w:b/>
                <w:szCs w:val="21"/>
                <w:lang w:eastAsia="zh-CN"/>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lang w:val="en-US" w:eastAsia="zh-CN"/>
              </w:rPr>
              <w:t xml:space="preserve">  </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r>
              <w:rPr>
                <w:rFonts w:hint="eastAsia" w:ascii="宋体" w:hAnsi="宋体"/>
                <w:b/>
                <w:szCs w:val="21"/>
                <w:lang w:eastAsia="zh-CN"/>
              </w:rPr>
              <w:t>）</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Lines="50"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Lines="50" w:line="360" w:lineRule="exact"/>
        <w:rPr>
          <w:b/>
          <w:sz w:val="16"/>
          <w:szCs w:val="16"/>
        </w:rPr>
      </w:pPr>
      <w:r>
        <w:rPr>
          <w:spacing w:val="-11"/>
        </w:rPr>
        <w:drawing>
          <wp:anchor distT="0" distB="0" distL="114300" distR="114300" simplePos="0" relativeHeight="251661312" behindDoc="0" locked="0" layoutInCell="1" allowOverlap="1">
            <wp:simplePos x="0" y="0"/>
            <wp:positionH relativeFrom="column">
              <wp:posOffset>1688465</wp:posOffset>
            </wp:positionH>
            <wp:positionV relativeFrom="paragraph">
              <wp:posOffset>143510</wp:posOffset>
            </wp:positionV>
            <wp:extent cx="711835" cy="311785"/>
            <wp:effectExtent l="0" t="0" r="12065" b="1206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lum contrast="96000"/>
                    </a:blip>
                    <a:stretch>
                      <a:fillRect/>
                    </a:stretch>
                  </pic:blipFill>
                  <pic:spPr>
                    <a:xfrm>
                      <a:off x="0" y="0"/>
                      <a:ext cx="711835" cy="311785"/>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Lines="50" w:line="320" w:lineRule="exact"/>
        <w:ind w:firstLine="600" w:firstLineChars="250"/>
        <w:rPr>
          <w:b/>
          <w:sz w:val="21"/>
        </w:rPr>
      </w:pPr>
      <w:r>
        <w:drawing>
          <wp:anchor distT="0" distB="0" distL="114300" distR="114300" simplePos="0" relativeHeight="251659264" behindDoc="0" locked="0" layoutInCell="1" allowOverlap="1">
            <wp:simplePos x="0" y="0"/>
            <wp:positionH relativeFrom="column">
              <wp:posOffset>1677035</wp:posOffset>
            </wp:positionH>
            <wp:positionV relativeFrom="paragraph">
              <wp:posOffset>115570</wp:posOffset>
            </wp:positionV>
            <wp:extent cx="691515" cy="280670"/>
            <wp:effectExtent l="0" t="0" r="13335" b="508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691515" cy="280670"/>
                    </a:xfrm>
                    <a:prstGeom prst="rect">
                      <a:avLst/>
                    </a:prstGeom>
                    <a:noFill/>
                    <a:ln>
                      <a:noFill/>
                    </a:ln>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2020年4月21日</w:t>
      </w:r>
    </w:p>
    <w:p>
      <w:pPr>
        <w:snapToGrid w:val="0"/>
        <w:spacing w:line="200" w:lineRule="exact"/>
        <w:ind w:firstLine="482" w:firstLineChars="300"/>
        <w:rPr>
          <w:b/>
          <w:sz w:val="16"/>
          <w:szCs w:val="16"/>
        </w:rPr>
      </w:pPr>
    </w:p>
    <w:p>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 xml:space="preserve"> 1</w:t>
      </w:r>
      <w:r>
        <w:rPr>
          <w:b/>
          <w:sz w:val="21"/>
          <w:szCs w:val="21"/>
        </w:rPr>
        <w:t>)</w:t>
      </w:r>
      <w:r>
        <w:rPr>
          <w:rFonts w:hint="eastAsia"/>
          <w:b/>
          <w:sz w:val="21"/>
          <w:szCs w:val="21"/>
        </w:rPr>
        <w:t>个一般不符合，</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632" w:firstLineChars="300"/>
        <w:rPr>
          <w:b/>
          <w:sz w:val="21"/>
          <w:szCs w:val="21"/>
        </w:rPr>
      </w:pPr>
      <w:r>
        <w:rPr>
          <w:rFonts w:hint="eastAsia"/>
          <w:b/>
          <w:bCs/>
          <w:sz w:val="21"/>
          <w:szCs w:val="21"/>
        </w:rPr>
        <w:t>审核中发现的</w:t>
      </w:r>
      <w:r>
        <w:rPr>
          <w:rFonts w:hint="eastAsia"/>
          <w:b/>
          <w:sz w:val="21"/>
          <w:szCs w:val="21"/>
        </w:rPr>
        <w:sym w:font="Wingdings 2" w:char="0052"/>
      </w:r>
      <w:r>
        <w:rPr>
          <w:b/>
          <w:sz w:val="21"/>
          <w:szCs w:val="21"/>
        </w:rPr>
        <w:t>EMS (</w:t>
      </w:r>
      <w:r>
        <w:rPr>
          <w:rFonts w:hint="eastAsia"/>
          <w:b/>
          <w:sz w:val="21"/>
          <w:szCs w:val="21"/>
          <w:lang w:val="en-US" w:eastAsia="zh-CN"/>
        </w:rPr>
        <w:t xml:space="preserve"> 0</w:t>
      </w:r>
      <w:r>
        <w:rPr>
          <w:b/>
          <w:sz w:val="21"/>
          <w:szCs w:val="21"/>
        </w:rPr>
        <w:t>)</w:t>
      </w:r>
      <w:r>
        <w:rPr>
          <w:rFonts w:hint="eastAsia"/>
          <w:b/>
          <w:sz w:val="21"/>
          <w:szCs w:val="21"/>
        </w:rPr>
        <w:t>个一般不符合，</w:t>
      </w:r>
      <w:r>
        <w:rPr>
          <w:b/>
          <w:sz w:val="21"/>
          <w:szCs w:val="21"/>
        </w:rPr>
        <w:t>( )</w:t>
      </w:r>
      <w:r>
        <w:rPr>
          <w:rFonts w:hint="eastAsia"/>
          <w:b/>
          <w:sz w:val="21"/>
          <w:szCs w:val="21"/>
        </w:rPr>
        <w:t>个严重不符合，□验证合格□仍有问题</w:t>
      </w:r>
    </w:p>
    <w:p>
      <w:pPr>
        <w:spacing w:beforeLines="50" w:line="400" w:lineRule="exact"/>
        <w:ind w:firstLine="632" w:firstLineChars="300"/>
        <w:rPr>
          <w:rFonts w:hint="eastAsia" w:eastAsia="宋体"/>
          <w:b/>
          <w:sz w:val="21"/>
          <w:szCs w:val="21"/>
          <w:u w:val="single"/>
          <w:lang w:eastAsia="zh-CN"/>
        </w:rPr>
      </w:pPr>
      <w:r>
        <w:rPr>
          <w:rFonts w:hint="eastAsia"/>
          <w:b/>
          <w:bCs/>
          <w:sz w:val="21"/>
          <w:szCs w:val="21"/>
        </w:rPr>
        <w:t>审核</w:t>
      </w:r>
      <w:bookmarkStart w:id="20" w:name="_GoBack"/>
      <w:bookmarkEnd w:id="20"/>
      <w:r>
        <w:rPr>
          <w:rFonts w:hint="eastAsia"/>
          <w:b/>
          <w:bCs/>
          <w:sz w:val="21"/>
          <w:szCs w:val="21"/>
        </w:rPr>
        <w:t>中发现的</w:t>
      </w:r>
      <w:r>
        <w:rPr>
          <w:rFonts w:hint="eastAsia"/>
          <w:b/>
          <w:sz w:val="21"/>
          <w:szCs w:val="21"/>
        </w:rPr>
        <w:sym w:font="Wingdings 2" w:char="0052"/>
      </w:r>
      <w:r>
        <w:rPr>
          <w:b/>
          <w:sz w:val="21"/>
          <w:szCs w:val="21"/>
        </w:rPr>
        <w:t xml:space="preserve">OHSMS ( </w:t>
      </w:r>
      <w:r>
        <w:rPr>
          <w:rFonts w:hint="eastAsia"/>
          <w:b/>
          <w:sz w:val="21"/>
          <w:szCs w:val="21"/>
          <w:lang w:val="en-US" w:eastAsia="zh-CN"/>
        </w:rPr>
        <w:t>1</w:t>
      </w:r>
      <w:r>
        <w:rPr>
          <w:b/>
          <w:sz w:val="21"/>
          <w:szCs w:val="21"/>
        </w:rPr>
        <w:t xml:space="preserve"> )</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400" w:lineRule="exact"/>
        <w:rPr>
          <w:b/>
          <w:sz w:val="21"/>
          <w:szCs w:val="21"/>
          <w:u w:val="single"/>
        </w:rPr>
      </w:pPr>
    </w:p>
    <w:p>
      <w:pPr>
        <w:spacing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Lines="50"/>
        <w:ind w:firstLine="747" w:firstLineChars="343"/>
        <w:rPr>
          <w:rFonts w:hint="eastAsia"/>
          <w:b/>
          <w:sz w:val="21"/>
          <w:szCs w:val="21"/>
          <w:lang w:val="en-US" w:eastAsia="zh-CN"/>
        </w:rPr>
      </w:pPr>
      <w:r>
        <w:rPr>
          <w:spacing w:val="-11"/>
        </w:rPr>
        <w:drawing>
          <wp:anchor distT="0" distB="0" distL="114300" distR="114300" simplePos="0" relativeHeight="251663360" behindDoc="0" locked="0" layoutInCell="1" allowOverlap="1">
            <wp:simplePos x="0" y="0"/>
            <wp:positionH relativeFrom="column">
              <wp:posOffset>1195705</wp:posOffset>
            </wp:positionH>
            <wp:positionV relativeFrom="paragraph">
              <wp:posOffset>19685</wp:posOffset>
            </wp:positionV>
            <wp:extent cx="815340" cy="356870"/>
            <wp:effectExtent l="0" t="0" r="3810" b="508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lum contrast="96000"/>
                    </a:blip>
                    <a:stretch>
                      <a:fillRect/>
                    </a:stretch>
                  </pic:blipFill>
                  <pic:spPr>
                    <a:xfrm>
                      <a:off x="0" y="0"/>
                      <a:ext cx="815340" cy="356870"/>
                    </a:xfrm>
                    <a:prstGeom prst="rect">
                      <a:avLst/>
                    </a:prstGeom>
                    <a:noFill/>
                    <a:ln>
                      <a:noFill/>
                    </a:ln>
                  </pic:spPr>
                </pic:pic>
              </a:graphicData>
            </a:graphic>
          </wp:anchor>
        </w:drawing>
      </w:r>
      <w:r>
        <w:rPr>
          <w:rFonts w:hint="eastAsia"/>
          <w:b/>
          <w:sz w:val="21"/>
          <w:szCs w:val="21"/>
        </w:rPr>
        <w:t>组长签字：</w:t>
      </w:r>
      <w:r>
        <w:rPr>
          <w:rFonts w:hint="eastAsia"/>
          <w:b/>
          <w:sz w:val="21"/>
          <w:szCs w:val="21"/>
          <w:lang w:val="en-US" w:eastAsia="zh-CN"/>
        </w:rPr>
        <w:t xml:space="preserve">                </w:t>
      </w:r>
    </w:p>
    <w:p>
      <w:pPr>
        <w:snapToGrid w:val="0"/>
        <w:spacing w:line="280" w:lineRule="exact"/>
        <w:ind w:firstLine="6325" w:firstLineChars="3000"/>
        <w:rPr>
          <w:rFonts w:hint="default" w:eastAsia="宋体"/>
          <w:b/>
          <w:sz w:val="21"/>
          <w:szCs w:val="21"/>
          <w:lang w:val="en-US" w:eastAsia="zh-CN"/>
        </w:rPr>
      </w:pPr>
      <w:r>
        <w:rPr>
          <w:rFonts w:hint="eastAsia"/>
          <w:b/>
          <w:sz w:val="21"/>
        </w:rPr>
        <w:t>日期：</w:t>
      </w:r>
      <w:r>
        <w:rPr>
          <w:rFonts w:hint="eastAsia"/>
          <w:b/>
          <w:sz w:val="21"/>
          <w:lang w:val="en-US" w:eastAsia="zh-CN"/>
        </w:rPr>
        <w:t>2020年4月22日</w:t>
      </w:r>
      <w:r>
        <w:rPr>
          <w:rFonts w:hint="eastAsia"/>
          <w:b/>
          <w:sz w:val="21"/>
          <w:szCs w:val="21"/>
          <w:lang w:val="en-US" w:eastAsia="zh-CN"/>
        </w:rPr>
        <w:t xml:space="preserve">        </w:t>
      </w:r>
    </w:p>
    <w:p>
      <w:pPr>
        <w:tabs>
          <w:tab w:val="left" w:pos="6880"/>
          <w:tab w:val="left" w:pos="7740"/>
          <w:tab w:val="left" w:pos="8385"/>
        </w:tabs>
        <w:snapToGrid w:val="0"/>
        <w:spacing w:beforeLines="50"/>
        <w:ind w:firstLine="723" w:firstLineChars="343"/>
        <w:rPr>
          <w:rFonts w:hint="eastAsia"/>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6"/>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日期：年月日</w:t>
      </w:r>
    </w:p>
    <w:p>
      <w:pPr>
        <w:numPr>
          <w:ilvl w:val="0"/>
          <w:numId w:val="6"/>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日期：年月日</w:t>
      </w:r>
    </w:p>
    <w:p>
      <w:pPr>
        <w:snapToGrid w:val="0"/>
        <w:spacing w:beforeLines="50"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Lines="50"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Lines="50"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9264;mso-width-relative:page;mso-height-relative:page;" filled="f" o:preferrelative="t" stroked="f" coordsize="21600,21600" wrapcoords="7535 0 5023 480 -502 5760 -502 10080 0 15360 502 17280 7535 20640 11051 20640 13563 20640 14567 20640 20093 15360 21098 6240 16074 1440 13060 0 7535 0">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0C1B3815"/>
    <w:multiLevelType w:val="singleLevel"/>
    <w:tmpl w:val="0C1B3815"/>
    <w:lvl w:ilvl="0" w:tentative="0">
      <w:start w:val="4"/>
      <w:numFmt w:val="decimal"/>
      <w:suff w:val="space"/>
      <w:lvlText w:val="%1."/>
      <w:lvlJc w:val="left"/>
    </w:lvl>
  </w:abstractNum>
  <w:abstractNum w:abstractNumId="2">
    <w:nsid w:val="196100F0"/>
    <w:multiLevelType w:val="singleLevel"/>
    <w:tmpl w:val="196100F0"/>
    <w:lvl w:ilvl="0" w:tentative="0">
      <w:start w:val="6"/>
      <w:numFmt w:val="decimal"/>
      <w:suff w:val="space"/>
      <w:lvlText w:val="%1."/>
      <w:lvlJc w:val="left"/>
    </w:lvl>
  </w:abstractNum>
  <w:abstractNum w:abstractNumId="3">
    <w:nsid w:val="32965AAC"/>
    <w:multiLevelType w:val="singleLevel"/>
    <w:tmpl w:val="32965AAC"/>
    <w:lvl w:ilvl="0" w:tentative="0">
      <w:start w:val="2"/>
      <w:numFmt w:val="decimal"/>
      <w:suff w:val="space"/>
      <w:lvlText w:val="%1."/>
      <w:lvlJc w:val="left"/>
    </w:lvl>
  </w:abstractNum>
  <w:abstractNum w:abstractNumId="4">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694F5975"/>
    <w:multiLevelType w:val="multilevel"/>
    <w:tmpl w:val="694F597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43101"/>
    <w:rsid w:val="00111AD5"/>
    <w:rsid w:val="00751D38"/>
    <w:rsid w:val="007F4A30"/>
    <w:rsid w:val="0084043F"/>
    <w:rsid w:val="008E4718"/>
    <w:rsid w:val="00A43101"/>
    <w:rsid w:val="00AA24B0"/>
    <w:rsid w:val="00EC2F01"/>
    <w:rsid w:val="025F69CE"/>
    <w:rsid w:val="02F559A2"/>
    <w:rsid w:val="03635BF2"/>
    <w:rsid w:val="06974C9C"/>
    <w:rsid w:val="082E0C8C"/>
    <w:rsid w:val="083C69E2"/>
    <w:rsid w:val="08810CEB"/>
    <w:rsid w:val="096F5B05"/>
    <w:rsid w:val="0AC804C7"/>
    <w:rsid w:val="0B8F6AB1"/>
    <w:rsid w:val="0EEB42E1"/>
    <w:rsid w:val="0F722F64"/>
    <w:rsid w:val="0FCD4FEB"/>
    <w:rsid w:val="10C315F8"/>
    <w:rsid w:val="10CE0469"/>
    <w:rsid w:val="10DB03DA"/>
    <w:rsid w:val="12596CDA"/>
    <w:rsid w:val="12810333"/>
    <w:rsid w:val="15587703"/>
    <w:rsid w:val="184511F7"/>
    <w:rsid w:val="19DC0758"/>
    <w:rsid w:val="19F23900"/>
    <w:rsid w:val="1AF72588"/>
    <w:rsid w:val="1BC64C18"/>
    <w:rsid w:val="1E5141B8"/>
    <w:rsid w:val="1F255394"/>
    <w:rsid w:val="1F6A72D1"/>
    <w:rsid w:val="20CD6BF2"/>
    <w:rsid w:val="221649BE"/>
    <w:rsid w:val="23381F85"/>
    <w:rsid w:val="234046C8"/>
    <w:rsid w:val="250240DB"/>
    <w:rsid w:val="26676BB7"/>
    <w:rsid w:val="2B3C42EB"/>
    <w:rsid w:val="2DF80C3F"/>
    <w:rsid w:val="2E7D271D"/>
    <w:rsid w:val="33050B98"/>
    <w:rsid w:val="356124A0"/>
    <w:rsid w:val="36E22135"/>
    <w:rsid w:val="389906C5"/>
    <w:rsid w:val="38C33488"/>
    <w:rsid w:val="396327C4"/>
    <w:rsid w:val="3B5D5E1C"/>
    <w:rsid w:val="3BEA3671"/>
    <w:rsid w:val="401C0707"/>
    <w:rsid w:val="40E84D87"/>
    <w:rsid w:val="43B16353"/>
    <w:rsid w:val="442B151C"/>
    <w:rsid w:val="45C44C28"/>
    <w:rsid w:val="46486257"/>
    <w:rsid w:val="46D46C19"/>
    <w:rsid w:val="49420FDB"/>
    <w:rsid w:val="49422522"/>
    <w:rsid w:val="4ABB1F1F"/>
    <w:rsid w:val="4AE46B8F"/>
    <w:rsid w:val="4C5339D1"/>
    <w:rsid w:val="4CAC6294"/>
    <w:rsid w:val="4FD35732"/>
    <w:rsid w:val="512B5E67"/>
    <w:rsid w:val="533622A4"/>
    <w:rsid w:val="536C124F"/>
    <w:rsid w:val="5627331D"/>
    <w:rsid w:val="57EB5A43"/>
    <w:rsid w:val="59F10831"/>
    <w:rsid w:val="5EBC5714"/>
    <w:rsid w:val="616E491C"/>
    <w:rsid w:val="61B4694B"/>
    <w:rsid w:val="64A927F4"/>
    <w:rsid w:val="699A1863"/>
    <w:rsid w:val="6EB8521F"/>
    <w:rsid w:val="70932780"/>
    <w:rsid w:val="73A7618A"/>
    <w:rsid w:val="73FF3012"/>
    <w:rsid w:val="752563A8"/>
    <w:rsid w:val="7729037B"/>
    <w:rsid w:val="78353087"/>
    <w:rsid w:val="78C575FA"/>
    <w:rsid w:val="79691E40"/>
    <w:rsid w:val="7A362B64"/>
    <w:rsid w:val="7E233602"/>
    <w:rsid w:val="7EC9525C"/>
    <w:rsid w:val="7FDE6D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qFormat/>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qFormat/>
    <w:locked/>
    <w:uiPriority w:val="99"/>
    <w:rPr>
      <w:rFonts w:ascii="Times New Roman" w:hAnsi="Times New Roman" w:eastAsia="宋体" w:cs="Times New Roman"/>
      <w:sz w:val="18"/>
      <w:szCs w:val="18"/>
    </w:rPr>
  </w:style>
  <w:style w:type="character" w:customStyle="1" w:styleId="10">
    <w:name w:val="页脚 Char"/>
    <w:link w:val="4"/>
    <w:semiHidden/>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1370</Words>
  <Characters>7810</Characters>
  <Lines>65</Lines>
  <Paragraphs>18</Paragraphs>
  <TotalTime>2</TotalTime>
  <ScaleCrop>false</ScaleCrop>
  <LinksUpToDate>false</LinksUpToDate>
  <CharactersWithSpaces>9162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Joyce</cp:lastModifiedBy>
  <cp:lastPrinted>2019-04-18T08:15:00Z</cp:lastPrinted>
  <dcterms:modified xsi:type="dcterms:W3CDTF">2020-04-22T09:56:01Z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