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93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中誉达(北京)工程技术有限公司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102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2022-N1QMS-7100863</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2024-N1OHSMS-3100863</w:t>
            </w:r>
          </w:p>
        </w:tc>
        <w:tc>
          <w:tcPr>
            <w:tcW w:w="3145" w:type="dxa"/>
            <w:vAlign w:val="center"/>
          </w:tcPr>
          <w:p w14:paraId="428F7A98">
            <w:pPr>
              <w:spacing w:line="360" w:lineRule="auto"/>
              <w:jc w:val="left"/>
              <w:rPr>
                <w:rFonts w:asciiTheme="minorEastAsia" w:eastAsiaTheme="minorEastAsia" w:hAnsiTheme="minorEastAsia"/>
              </w:rPr>
            </w:pPr>
            <w:r>
              <w:t>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2023-N1EMS-4100863</w:t>
            </w:r>
          </w:p>
        </w:tc>
        <w:tc>
          <w:tcPr>
            <w:tcW w:w="3145" w:type="dxa"/>
            <w:vAlign w:val="center"/>
          </w:tcPr>
          <w:p w14:paraId="591646C4">
            <w:pPr>
              <w:spacing w:line="360" w:lineRule="auto"/>
              <w:jc w:val="left"/>
              <w:rPr>
                <w:rFonts w:asciiTheme="minorEastAsia" w:eastAsiaTheme="minorEastAsia" w:hAnsiTheme="minorEastAsia"/>
              </w:rPr>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20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