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10390-2023-QEO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江西恒金智能科技有限公司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曾赣玲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91360982MA360H4H9U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江西恒金智能科技有限公司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江西省宜春市樟树市盐城大道与共和东路交叉路口南侧（锦绣江南）19-10号店面(自主承诺）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江西省宜春市樟树市药都科技产业园金属区雷新路88号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江西恒金智能科技有限公司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江西省宜春市樟树市盐城大道与共和东路交叉路口南侧（锦绣江南）19-10号店面(自主承诺）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江西省宜春市樟树市药都科技产业园金属区雷新路88号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880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