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20981-2024-QEO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北京果然智享信息技术有限公司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91110302MA001QK27N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北京果然智享信息技术有限公司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E:针纺织品、日用品、家用电器、电子产品、办公用品、体育用品、工艺美术品、备案范围内预包装食品的销售所涉及场所的相关环境管理活动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O:针纺织品、日用品、家用电器、电子产品、办公用品、体育用品、工艺美术品、备案范围内预包装食品的销售所涉及场所的相关职业健康安全管理活动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Q:针纺织品、日用品、家用电器、电子产品、办公用品、体育用品、工艺美术品、备案范围内预包装食品的销售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北京果然智享信息技术有限公司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北京市北京经济技术开发区地盛东路1号院1幢5层A505</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E:针纺织品、日用品、家用电器、电子产品、办公用品、体育用品、工艺美术品、备案范围内预包装食品的销售所涉及场所的相关环境管理活动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O:针纺织品、日用品、家用电器、电子产品、办公用品、体育用品、工艺美术品、备案范围内预包装食品的销售所涉及场所的相关职业健康安全管理活动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Q:针纺织品、日用品、家用电器、电子产品、办公用品、体育用品、工艺美术品、备案范围内预包装食品的销售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06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