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共好未来（北京）教育科技有限公司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683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