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20993-2024-EcEO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河北楷卓环保科技有限公司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孔祥凤</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91130102MA0GG2194T</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河北楷卓环保科技有限公司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河北省石家庄市长安区建设北大街48号风尚宜都二区2楼YL026号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河北省石家庄市长安区中山东路466号正阳城市广场B座1707/1708</w:t>
            </w:r>
          </w:p>
          <w:p w:rsidR="002460AB">
            <w:pPr>
              <w:snapToGrid w:val="0"/>
              <w:spacing w:line="0" w:lineRule="atLeast"/>
              <w:jc w:val="left"/>
              <w:rPr>
                <w:sz w:val="21"/>
                <w:szCs w:val="21"/>
              </w:rPr>
            </w:pPr>
            <w:r>
              <w:rPr>
                <w:rFonts w:hint="eastAsia"/>
                <w:sz w:val="21"/>
                <w:szCs w:val="21"/>
              </w:rPr>
              <w:t>污水站废气治理工程 河北省石家庄市裕华区秦岭大街与淮河道交叉口东侧200米路南，石药集团专家公寓。</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E:范围资质内环保工程专业承包所涉及场所的相关环境管理活动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S:范围资质内环保工程专业承包所涉及场所的相关职业健康安全管理活动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Q:范围资质内环保工程专业承包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河北楷卓环保科技有限公司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河北省石家庄市长安区建设北大街48号风尚宜都二区2楼YL026号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河北省石家庄市长安区中山东路466号正阳城市广场B座1707/1708</w:t>
            </w:r>
          </w:p>
          <w:p w:rsidR="002460AB">
            <w:pPr>
              <w:snapToGrid w:val="0"/>
              <w:spacing w:line="0" w:lineRule="atLeast"/>
              <w:jc w:val="left"/>
              <w:rPr>
                <w:sz w:val="21"/>
                <w:szCs w:val="21"/>
              </w:rPr>
            </w:pPr>
            <w:r>
              <w:rPr>
                <w:rFonts w:hint="eastAsia"/>
                <w:sz w:val="21"/>
                <w:szCs w:val="21"/>
              </w:rPr>
              <w:t>污水站废气治理工程 河北省石家庄市裕华区秦岭大街与淮河道交叉口东侧200米路南，石药集团专家公寓。</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E:范围资质内环保工程专业承包所涉及场所的相关环境管理活动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S:范围资质内环保工程专业承包所涉及场所的相关职业健康安全管理活动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Q:范围资质内环保工程专业承包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31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