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20676-2024-QEO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济宁市水利工程建设监理中心有限公司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91370800768716989P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济宁市水利工程建设监理中心有限公司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山东省济宁市任城大道与环翠路交汇处翠都国际A座17层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山东省济宁市太白湖区文化中心B座8楼</w:t>
            </w:r>
          </w:p>
          <w:p w:rsidR="002460AB">
            <w:pPr>
              <w:snapToGrid w:val="0"/>
              <w:spacing w:line="0" w:lineRule="atLeast"/>
              <w:jc w:val="left"/>
              <w:rPr>
                <w:sz w:val="21"/>
                <w:szCs w:val="21"/>
              </w:rPr>
            </w:pPr>
            <w:r>
              <w:rPr>
                <w:rFonts w:hint="eastAsia"/>
                <w:sz w:val="21"/>
                <w:szCs w:val="21"/>
              </w:rPr>
              <w:t>济宁市水利工程建设监理中心有限公司 济宁市任城区济宁市洙水河治理工程</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E:资质范围内的水利工程施工监理所涉及场所的相关环境管理活动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O:资质范围内的水利工程施工监理所涉及场所的相关职业健康安全管理活动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Q:资质范围内的水利工程施工监理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济宁市水利工程建设监理中心有限公司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山东省济宁市任城大道与环翠路交汇处翠都国际A座17层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山东省济宁市太白湖区文化中心B座8楼</w:t>
            </w:r>
          </w:p>
          <w:p w:rsidR="002460AB">
            <w:pPr>
              <w:snapToGrid w:val="0"/>
              <w:spacing w:line="0" w:lineRule="atLeast"/>
              <w:jc w:val="left"/>
              <w:rPr>
                <w:sz w:val="21"/>
                <w:szCs w:val="21"/>
              </w:rPr>
            </w:pPr>
            <w:r>
              <w:rPr>
                <w:rFonts w:hint="eastAsia"/>
                <w:sz w:val="21"/>
                <w:szCs w:val="21"/>
              </w:rPr>
              <w:t>济宁市水利工程建设监理中心有限公司 济宁市任城区济宁市洙水河治理工程</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E:资质范围内的水利工程施工监理所涉及场所的相关环境管理活动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O:资质范围内的水利工程施工监理所涉及场所的相关职业健康安全管理活动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Q:资质范围内的水利工程施工监理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870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