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20457-2024-EcEO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江西泰豪智能电力工程有限公司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张锐</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91360126MA397QJ782</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E:未认可,O:未认可,EC:未认可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GB/T19001-2016/ISO9001:2015和GB/T50430-2017、GB/T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江西泰豪智能电力工程有限公司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江西省南昌市南昌高新技术产业开发区瑶湖西六路高新电子信息产业园1-1号厂房</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江西省南昌市南昌高新技术产业开发区瑶湖西六路高新电子信息产业园1-1号厂房</w:t>
            </w:r>
          </w:p>
          <w:p w14:paraId="742A3621">
            <w:pPr>
              <w:snapToGrid w:val="0"/>
              <w:spacing w:line="0" w:lineRule="atLeast"/>
              <w:jc w:val="left"/>
              <w:rPr>
                <w:rFonts w:hint="eastAsia"/>
                <w:sz w:val="21"/>
                <w:szCs w:val="21"/>
              </w:rPr>
            </w:pPr>
            <w:r>
              <w:rPr>
                <w:rFonts w:hint="eastAsia"/>
                <w:sz w:val="21"/>
                <w:szCs w:val="21"/>
              </w:rPr>
              <w:t>南昌大学青山湖校区北区住宅小区老旧改项目 江西省南昌市青山湖区南京东路235号</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E:电力工程、输变电工程、机电工程、市政公用工程、城市及道路照明工程的施工所涉及场所的相关环境管理活动</w:t>
            </w:r>
          </w:p>
          <w:p>
            <w:pPr>
              <w:snapToGrid w:val="0"/>
              <w:spacing w:line="0" w:lineRule="atLeast"/>
              <w:jc w:val="left"/>
              <w:rPr>
                <w:rFonts w:hint="eastAsia"/>
                <w:sz w:val="21"/>
                <w:szCs w:val="21"/>
                <w:lang w:val="en-GB"/>
              </w:rPr>
            </w:pPr>
            <w:r>
              <w:rPr>
                <w:rFonts w:hint="eastAsia"/>
                <w:sz w:val="21"/>
                <w:szCs w:val="21"/>
                <w:lang w:val="en-GB"/>
              </w:rPr>
              <w:t>O:电力工程、输变电工程、机电工程、市政公用工程、城市及道路照明工程的施工所涉及场所的相关职业健康安全管理活动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Q:电力工程、输变电工程、机电工程、市政公用工程、城市及道路照明工程的施工</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江西泰豪智能电力工程有限公司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江西省南昌市南昌高新技术产业开发区瑶湖西六路高新电子信息产业园1-1号厂房</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江西省南昌市南昌高新技术产业开发区瑶湖西六路高新电子信息产业园1-1号厂房</w:t>
            </w:r>
          </w:p>
          <w:p w14:paraId="19A06FCA">
            <w:pPr>
              <w:snapToGrid w:val="0"/>
              <w:spacing w:line="0" w:lineRule="atLeast"/>
              <w:jc w:val="left"/>
              <w:rPr>
                <w:rFonts w:hint="eastAsia"/>
                <w:sz w:val="21"/>
                <w:szCs w:val="21"/>
              </w:rPr>
            </w:pPr>
            <w:r>
              <w:rPr>
                <w:rFonts w:hint="eastAsia"/>
                <w:sz w:val="21"/>
                <w:szCs w:val="21"/>
              </w:rPr>
              <w:t>南昌大学青山湖校区北区住宅小区老旧改项目 江西省南昌市青山湖区南京东路235号</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E:电力工程、输变电工程、机电工程、市政公用工程、城市及道路照明工程的施工所涉及场所的相关环境管理活动</w:t>
            </w:r>
          </w:p>
          <w:p>
            <w:pPr>
              <w:snapToGrid w:val="0"/>
              <w:spacing w:line="0" w:lineRule="atLeast"/>
              <w:jc w:val="left"/>
              <w:rPr>
                <w:rFonts w:hint="eastAsia"/>
                <w:sz w:val="21"/>
                <w:szCs w:val="21"/>
                <w:lang w:val="en-GB"/>
              </w:rPr>
            </w:pPr>
            <w:r>
              <w:rPr>
                <w:rFonts w:hint="eastAsia"/>
                <w:sz w:val="21"/>
                <w:szCs w:val="21"/>
                <w:lang w:val="en-GB"/>
              </w:rPr>
              <w:t>O:电力工程、输变电工程、机电工程、市政公用工程、城市及道路照明工程的施工所涉及场所的相关职业健康安全管理活动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Q:电力工程、输变电工程、机电工程、市政公用工程、城市及道路照明工程的施工</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2373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