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10888-2024-QEO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杭州创盟科技有限公司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杜万成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91330106352477291K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杭州创盟科技有限公司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浙江省杭州市西湖区天苑花园2幢24C室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杭州市西湖区学院路90号华门世家B座401室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E:办公设备及办公耗材的销售所涉及场所的相关环境管理活动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S:办公设备及办公耗材的销售所涉及场所的相关职业健康安全管理活动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Q:办公设备及办公耗材的销售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杭州创盟科技有限公司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浙江省杭州市西湖区天苑花园2幢24C室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杭州市西湖区学院路90号华门世家B座401室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E:办公设备及办公耗材的销售所涉及场所的相关环境管理活动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S:办公设备及办公耗材的销售所涉及场所的相关职业健康安全管理活动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Q:办公设备及办公耗材的销售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419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