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20289-2024-QE</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江西同陌科技有限公司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文波</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91360125MABN62KP86</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江西同陌科技有限公司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江西省南昌市红谷滩区红角洲学府大道899号江西慧谷-红谷创意产业园(第1-6层)B栋二楼B3-254室</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江西省南昌市红谷滩区红角洲学府大道899号江西慧谷-红谷创意产业园4栋704</w:t>
            </w:r>
          </w:p>
          <w:p w14:paraId="742A3621">
            <w:pPr>
              <w:snapToGrid w:val="0"/>
              <w:spacing w:line="0" w:lineRule="atLeast"/>
              <w:jc w:val="left"/>
              <w:rPr>
                <w:rFonts w:hint="eastAsia"/>
                <w:sz w:val="21"/>
                <w:szCs w:val="21"/>
              </w:rPr>
            </w:pPr>
            <w:r>
              <w:rPr>
                <w:rFonts w:hint="eastAsia"/>
                <w:sz w:val="21"/>
                <w:szCs w:val="21"/>
              </w:rPr>
              <w:t>中铁水利水电规划设计集团有限公司测绘地理信息院保密机房采购项目 江西省南昌县千亿产业园鲁班路与杜鹃花路交叉口</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E:信息系统集成服务所涉及场所的相关环境管理活动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Q:信息系统集成服务</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江西同陌科技有限公司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江西省南昌市红谷滩区红角洲学府大道899号江西慧谷-红谷创意产业园(第1-6层)B栋二楼B3-254室</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江西省南昌市红谷滩区红角洲学府大道899号江西慧谷-红谷创意产业园4栋704</w:t>
            </w:r>
          </w:p>
          <w:p w14:paraId="19A06FCA">
            <w:pPr>
              <w:snapToGrid w:val="0"/>
              <w:spacing w:line="0" w:lineRule="atLeast"/>
              <w:jc w:val="left"/>
              <w:rPr>
                <w:rFonts w:hint="eastAsia"/>
                <w:sz w:val="21"/>
                <w:szCs w:val="21"/>
              </w:rPr>
            </w:pPr>
            <w:r>
              <w:rPr>
                <w:rFonts w:hint="eastAsia"/>
                <w:sz w:val="21"/>
                <w:szCs w:val="21"/>
              </w:rPr>
              <w:t>中铁水利水电规划设计集团有限公司测绘地理信息院保密机房采购项目 江西省南昌县千亿产业园鲁班路与杜鹃花路交叉口</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E:信息系统集成服务所涉及场所的相关环境管理活动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Q:信息系统集成服务</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43580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