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0127-2020-QEO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四川安智信实业有限公司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罗鸿琼</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四川安智信实业有限公司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成都市金牛区天龙大道1333号8幢15-1号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610036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成都市武侯区武兴五路77号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吕梦力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18123253067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张淑芳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吕梦力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Q：资质范围内的测绘服务，土地整理，城乡规划服务</w:t>
            </w:r>
          </w:p>
          <w:p>
            <w:pPr>
              <w:spacing w:line="400" w:lineRule="exact"/>
              <w:rPr>
                <w:rFonts w:ascii="宋体" w:hAnsi="宋体"/>
                <w:b/>
                <w:color w:val="000000"/>
                <w:sz w:val="20"/>
                <w:szCs w:val="20"/>
              </w:rPr>
            </w:pPr>
            <w:r>
              <w:rPr>
                <w:rFonts w:ascii="宋体" w:hAnsi="宋体"/>
                <w:b/>
                <w:color w:val="000000"/>
                <w:sz w:val="20"/>
                <w:szCs w:val="20"/>
              </w:rPr>
              <w:t>E：资质范围内的测绘服务，土地整理，城乡规划服务所涉及的相关环境管理活动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O：资质范围内的测绘服务，土地整理，城乡规划服务所涉及的相关职业健康安全管理活动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Q：34.01.01;34.06.00</w:t>
            </w:r>
          </w:p>
          <w:p>
            <w:pPr>
              <w:spacing w:line="280" w:lineRule="exact"/>
              <w:rPr>
                <w:rFonts w:ascii="宋体"/>
                <w:b/>
                <w:color w:val="000000"/>
                <w:sz w:val="20"/>
                <w:szCs w:val="20"/>
              </w:rPr>
            </w:pPr>
            <w:r>
              <w:rPr>
                <w:rFonts w:ascii="宋体"/>
                <w:b/>
                <w:color w:val="000000"/>
                <w:sz w:val="20"/>
                <w:szCs w:val="20"/>
              </w:rPr>
              <w:t>E：34.01.01;34.06.00</w:t>
            </w:r>
          </w:p>
          <w:p>
            <w:pPr>
              <w:spacing w:line="280" w:lineRule="exact"/>
              <w:rPr>
                <w:rFonts w:ascii="宋体"/>
                <w:b/>
                <w:color w:val="000000"/>
                <w:sz w:val="20"/>
                <w:szCs w:val="20"/>
              </w:rPr>
            </w:pPr>
            <w:r>
              <w:rPr>
                <w:rFonts w:ascii="宋体"/>
                <w:b/>
                <w:color w:val="000000"/>
                <w:sz w:val="20"/>
                <w:szCs w:val="20"/>
              </w:rPr>
              <w:t>O：34.01.01;34.06.00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综合管理部</w:t>
      </w:r>
      <w:r>
        <w:rPr>
          <w:rFonts w:hint="eastAsia" w:ascii="宋体" w:hAnsi="宋体"/>
          <w:szCs w:val="21"/>
        </w:rPr>
        <w:t>、</w:t>
      </w:r>
      <w:r>
        <w:rPr>
          <w:rFonts w:hint="eastAsia" w:ascii="宋体" w:hAnsi="宋体"/>
          <w:szCs w:val="21"/>
          <w:lang w:eastAsia="zh-CN"/>
        </w:rPr>
        <w:t>项目部</w:t>
      </w:r>
      <w:r>
        <w:rPr>
          <w:rFonts w:hint="eastAsia" w:ascii="宋体" w:hAnsi="宋体"/>
          <w:szCs w:val="21"/>
        </w:rPr>
        <w:t>、</w:t>
      </w:r>
      <w:r>
        <w:rPr>
          <w:rFonts w:hint="eastAsia" w:ascii="宋体" w:hAnsi="宋体"/>
          <w:szCs w:val="21"/>
          <w:lang w:eastAsia="zh-CN"/>
        </w:rPr>
        <w:t>质检部</w:t>
      </w:r>
      <w:r>
        <w:rPr>
          <w:rFonts w:hint="eastAsia" w:ascii="宋体" w:hAnsi="宋体"/>
          <w:szCs w:val="21"/>
        </w:rPr>
        <w:t>。</w:t>
      </w:r>
    </w:p>
    <w:p>
      <w:pPr>
        <w:spacing w:line="300" w:lineRule="auto"/>
        <w:ind w:firstLine="269" w:firstLineChars="134"/>
        <w:rPr>
          <w:rFonts w:hint="eastAsia" w:eastAsia="宋体"/>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eastAsia="宋体"/>
                <w:b/>
                <w:lang w:eastAsia="zh-CN"/>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rPr>
              <w:t>资质范围内的测绘服务，土地整理，城乡规划服务</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400" w:lineRule="exact"/>
              <w:ind w:firstLine="402" w:firstLineChars="200"/>
              <w:jc w:val="left"/>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综合管理部</w:t>
            </w:r>
            <w:r>
              <w:rPr>
                <w:rFonts w:hint="eastAsia" w:ascii="宋体" w:hAnsi="宋体"/>
                <w:szCs w:val="21"/>
              </w:rPr>
              <w:t>、</w:t>
            </w:r>
            <w:r>
              <w:rPr>
                <w:rFonts w:hint="eastAsia" w:ascii="宋体" w:hAnsi="宋体"/>
                <w:szCs w:val="21"/>
                <w:lang w:eastAsia="zh-CN"/>
              </w:rPr>
              <w:t>项目部</w:t>
            </w:r>
            <w:r>
              <w:rPr>
                <w:rFonts w:hint="eastAsia" w:ascii="宋体" w:hAnsi="宋体"/>
                <w:szCs w:val="21"/>
              </w:rPr>
              <w:t>、</w:t>
            </w:r>
            <w:r>
              <w:rPr>
                <w:rFonts w:hint="eastAsia" w:ascii="宋体" w:hAnsi="宋体"/>
                <w:szCs w:val="21"/>
                <w:lang w:eastAsia="zh-CN"/>
              </w:rPr>
              <w:t>质检部</w:t>
            </w:r>
            <w:r>
              <w:rPr>
                <w:rFonts w:hint="eastAsia" w:ascii="宋体" w:hAnsi="宋体"/>
                <w:szCs w:val="21"/>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lang w:eastAsia="zh-CN"/>
              </w:rPr>
              <w:t>综合管理部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质检部</w:t>
            </w:r>
          </w:p>
          <w:p>
            <w:pPr>
              <w:tabs>
                <w:tab w:val="left" w:pos="360"/>
              </w:tabs>
              <w:spacing w:beforeLines="50"/>
              <w:ind w:left="357" w:hanging="357"/>
              <w:rPr>
                <w:rFonts w:ascii="宋体" w:hAnsi="宋体"/>
                <w:szCs w:val="21"/>
              </w:rPr>
            </w:pPr>
            <w:r>
              <w:rPr>
                <w:rFonts w:hint="eastAsia" w:ascii="宋体" w:hAnsi="宋体"/>
                <w:b/>
                <w:color w:val="000000"/>
                <w:sz w:val="20"/>
                <w:szCs w:val="20"/>
              </w:rPr>
              <w:t>环境管理主管部门：</w:t>
            </w:r>
            <w:r>
              <w:rPr>
                <w:rFonts w:hint="eastAsia" w:ascii="宋体" w:hAnsi="宋体"/>
                <w:szCs w:val="21"/>
                <w:lang w:eastAsia="zh-CN"/>
              </w:rPr>
              <w:t>综合管理部</w:t>
            </w:r>
          </w:p>
          <w:p>
            <w:pPr>
              <w:tabs>
                <w:tab w:val="left" w:pos="360"/>
              </w:tabs>
              <w:spacing w:beforeLines="50"/>
              <w:ind w:left="357" w:hanging="357"/>
              <w:rPr>
                <w:rFonts w:ascii="宋体" w:hAnsi="宋体"/>
                <w:szCs w:val="21"/>
              </w:rPr>
            </w:pPr>
            <w:r>
              <w:rPr>
                <w:rFonts w:hint="eastAsia" w:ascii="宋体" w:hAnsi="宋体"/>
                <w:b/>
                <w:color w:val="000000"/>
                <w:sz w:val="20"/>
                <w:szCs w:val="20"/>
              </w:rPr>
              <w:t>职业健康安全主管部门：</w:t>
            </w:r>
            <w:r>
              <w:rPr>
                <w:rFonts w:hint="eastAsia" w:ascii="宋体" w:hAnsi="宋体"/>
                <w:szCs w:val="21"/>
                <w:lang w:eastAsia="zh-CN"/>
              </w:rPr>
              <w:t>综合管理部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val="en-US" w:eastAsia="zh-CN"/>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spacing w:line="240" w:lineRule="atLeast"/>
              <w:jc w:val="left"/>
              <w:rPr>
                <w:rFonts w:ascii="宋体" w:hAnsi="宋体"/>
                <w:szCs w:val="21"/>
                <w:u w:val="single"/>
              </w:rPr>
            </w:pPr>
            <w:r>
              <w:rPr>
                <w:rFonts w:hint="eastAsia" w:ascii="宋体" w:hAnsi="宋体"/>
                <w:color w:val="000000"/>
                <w:sz w:val="20"/>
                <w:szCs w:val="20"/>
              </w:rPr>
              <w:t>受审核方位于：</w:t>
            </w:r>
            <w:bookmarkStart w:id="24" w:name="生产地址"/>
            <w:r>
              <w:t>成都市武侯区武兴五路77号</w:t>
            </w:r>
            <w:bookmarkEnd w:id="24"/>
          </w:p>
          <w:p>
            <w:pPr>
              <w:tabs>
                <w:tab w:val="left" w:pos="360"/>
              </w:tabs>
              <w:ind w:left="420" w:leftChars="200" w:firstLine="1052" w:firstLineChars="526"/>
              <w:rPr>
                <w:rFonts w:ascii="宋体"/>
                <w:color w:val="000000"/>
                <w:sz w:val="20"/>
                <w:szCs w:val="20"/>
              </w:rPr>
            </w:pP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w:t>
            </w:r>
            <w:r>
              <w:rPr>
                <w:rFonts w:hint="eastAsia" w:ascii="宋体" w:hAnsi="宋体"/>
                <w:color w:val="000000"/>
                <w:sz w:val="20"/>
                <w:szCs w:val="20"/>
                <w:highlight w:val="none"/>
              </w:rPr>
              <w:t>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numPr>
                <w:ilvl w:val="0"/>
                <w:numId w:val="0"/>
              </w:numPr>
              <w:spacing w:line="400" w:lineRule="exact"/>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szCs w:val="21"/>
                <w:lang w:eastAsia="zh-CN"/>
              </w:rPr>
              <w:t>《</w:t>
            </w:r>
            <w:r>
              <w:rPr>
                <w:rFonts w:hint="eastAsia" w:ascii="宋体" w:hAnsi="宋体" w:cs="宋体"/>
                <w:color w:val="000000"/>
                <w:szCs w:val="21"/>
              </w:rPr>
              <w:t>土地勘测定界规程</w:t>
            </w:r>
            <w:r>
              <w:rPr>
                <w:rFonts w:hint="eastAsia" w:ascii="宋体" w:hAnsi="宋体" w:cs="宋体"/>
                <w:szCs w:val="21"/>
              </w:rPr>
              <w:t>》</w:t>
            </w:r>
            <w:r>
              <w:rPr>
                <w:rFonts w:hint="eastAsia" w:ascii="宋体" w:hAnsi="宋体" w:cs="宋体"/>
                <w:color w:val="000000"/>
                <w:szCs w:val="21"/>
              </w:rPr>
              <w:t>TD/T1008—2007</w:t>
            </w:r>
            <w:r>
              <w:rPr>
                <w:rFonts w:hint="eastAsia" w:ascii="宋体" w:hAnsi="宋体" w:cs="宋体"/>
                <w:szCs w:val="21"/>
              </w:rPr>
              <w:t>、《</w:t>
            </w:r>
            <w:r>
              <w:rPr>
                <w:rFonts w:hint="eastAsia" w:ascii="宋体" w:hAnsi="宋体" w:cs="宋体"/>
                <w:color w:val="000000"/>
                <w:szCs w:val="21"/>
              </w:rPr>
              <w:t>全球定位系统（GPS）测量规范</w:t>
            </w:r>
            <w:r>
              <w:rPr>
                <w:rFonts w:hint="eastAsia" w:ascii="宋体" w:hAnsi="宋体" w:cs="宋体"/>
                <w:szCs w:val="21"/>
              </w:rPr>
              <w:t>》</w:t>
            </w:r>
            <w:r>
              <w:rPr>
                <w:rFonts w:hint="eastAsia" w:ascii="宋体" w:hAnsi="宋体" w:cs="宋体"/>
                <w:color w:val="000000"/>
                <w:szCs w:val="21"/>
              </w:rPr>
              <w:t>GB/T18314—2009</w:t>
            </w:r>
            <w:r>
              <w:rPr>
                <w:rFonts w:hint="eastAsia" w:ascii="宋体" w:hAnsi="宋体" w:cs="宋体"/>
                <w:kern w:val="15"/>
                <w:szCs w:val="21"/>
              </w:rPr>
              <w:t>； 《</w:t>
            </w:r>
            <w:r>
              <w:rPr>
                <w:rFonts w:hint="eastAsia" w:ascii="宋体" w:hAnsi="宋体" w:cs="宋体"/>
                <w:color w:val="000000"/>
                <w:szCs w:val="21"/>
              </w:rPr>
              <w:t>测绘技术设计规定</w:t>
            </w:r>
            <w:r>
              <w:rPr>
                <w:rFonts w:hint="eastAsia" w:ascii="宋体" w:hAnsi="宋体" w:cs="宋体"/>
                <w:kern w:val="15"/>
                <w:szCs w:val="21"/>
              </w:rPr>
              <w:t>》</w:t>
            </w:r>
            <w:r>
              <w:rPr>
                <w:rFonts w:hint="eastAsia" w:ascii="宋体" w:hAnsi="宋体" w:cs="宋体"/>
                <w:color w:val="000000"/>
                <w:szCs w:val="21"/>
              </w:rPr>
              <w:t>CH/T1004—2005</w:t>
            </w:r>
            <w:r>
              <w:rPr>
                <w:rFonts w:hint="eastAsia" w:ascii="宋体" w:hAnsi="宋体" w:cs="宋体"/>
                <w:kern w:val="15"/>
                <w:szCs w:val="21"/>
              </w:rPr>
              <w:t>; 《</w:t>
            </w:r>
            <w:r>
              <w:rPr>
                <w:rFonts w:hint="eastAsia" w:ascii="宋体" w:hAnsi="宋体" w:cs="宋体"/>
                <w:color w:val="000000"/>
                <w:szCs w:val="21"/>
              </w:rPr>
              <w:t>测绘产品检查验收规定</w:t>
            </w:r>
            <w:r>
              <w:rPr>
                <w:rFonts w:hint="eastAsia" w:ascii="宋体" w:hAnsi="宋体" w:cs="宋体"/>
                <w:kern w:val="15"/>
                <w:szCs w:val="21"/>
              </w:rPr>
              <w:t>》</w:t>
            </w:r>
            <w:r>
              <w:rPr>
                <w:rFonts w:hint="eastAsia" w:ascii="宋体" w:hAnsi="宋体" w:cs="宋体"/>
                <w:color w:val="000000"/>
                <w:szCs w:val="21"/>
              </w:rPr>
              <w:t>GH1002-1995</w:t>
            </w:r>
            <w:r>
              <w:rPr>
                <w:rFonts w:hint="eastAsia" w:ascii="宋体" w:hAnsi="宋体" w:cs="宋体"/>
                <w:color w:val="000000"/>
                <w:szCs w:val="21"/>
                <w:lang w:eastAsia="zh-CN"/>
              </w:rPr>
              <w:t>、《</w:t>
            </w:r>
            <w:r>
              <w:rPr>
                <w:rFonts w:hint="eastAsia" w:ascii="宋体" w:hAnsi="宋体" w:cs="宋体"/>
                <w:color w:val="000000"/>
                <w:szCs w:val="21"/>
              </w:rPr>
              <w:t>测绘产品质量品评定标准</w:t>
            </w:r>
            <w:r>
              <w:rPr>
                <w:rFonts w:hint="eastAsia" w:ascii="宋体" w:hAnsi="宋体" w:cs="宋体"/>
                <w:color w:val="000000"/>
                <w:szCs w:val="21"/>
                <w:lang w:eastAsia="zh-CN"/>
              </w:rPr>
              <w:t>》</w:t>
            </w:r>
            <w:r>
              <w:rPr>
                <w:rFonts w:hint="eastAsia" w:ascii="宋体" w:hAnsi="宋体" w:cs="宋体"/>
                <w:color w:val="000000"/>
                <w:szCs w:val="21"/>
              </w:rPr>
              <w:t>GH1003-1995</w:t>
            </w:r>
            <w:r>
              <w:rPr>
                <w:rFonts w:hint="eastAsia" w:ascii="宋体" w:hAnsi="宋体" w:cs="宋体"/>
                <w:kern w:val="15"/>
                <w:szCs w:val="21"/>
                <w:lang w:eastAsia="zh-CN"/>
              </w:rPr>
              <w:t>等</w:t>
            </w:r>
            <w:r>
              <w:rPr>
                <w:rFonts w:hint="eastAsia" w:ascii="宋体" w:hAnsi="宋体"/>
                <w:sz w:val="21"/>
                <w:szCs w:val="21"/>
                <w:highlight w:val="none"/>
                <w:lang w:eastAsia="zh-CN"/>
              </w:rPr>
              <w:t>、</w:t>
            </w:r>
            <w:r>
              <w:rPr>
                <w:rFonts w:hint="eastAsia" w:ascii="宋体" w:hAnsi="宋体"/>
                <w:color w:val="000000"/>
                <w:spacing w:val="-10"/>
                <w:sz w:val="21"/>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w:t>
            </w:r>
            <w:r>
              <w:rPr>
                <w:rFonts w:hint="eastAsia" w:ascii="宋体" w:hAnsi="Times New Roman" w:cs="Times New Roman"/>
                <w:color w:val="000000"/>
                <w:sz w:val="20"/>
                <w:szCs w:val="20"/>
              </w:rPr>
              <w:t>中华人民共和国安全消防法、中华人民共和国劳动合同法、中华人民共和国安全生产法等</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eastAsia="宋体"/>
                <w:lang w:eastAsia="zh-CN"/>
              </w:rPr>
            </w:pPr>
            <w:r>
              <w:rPr>
                <w:rFonts w:hint="eastAsia"/>
                <w:lang w:eastAsia="zh-CN"/>
              </w:rPr>
              <w:t>测绘流程：接任务</w:t>
            </w:r>
            <w:r>
              <w:rPr>
                <w:rFonts w:hint="eastAsia"/>
                <w:lang w:val="en-US" w:eastAsia="zh-CN"/>
              </w:rPr>
              <w:t>----基础资料收集---开始作业----</w:t>
            </w:r>
            <w:r>
              <w:rPr>
                <w:rFonts w:hint="eastAsia"/>
              </w:rPr>
              <w:t>等高线矢量化</w:t>
            </w:r>
            <w:r>
              <w:rPr>
                <w:rFonts w:hint="eastAsia"/>
                <w:lang w:val="en-US" w:eastAsia="zh-CN"/>
              </w:rPr>
              <w:t>------</w:t>
            </w:r>
            <w:r>
              <w:rPr>
                <w:rFonts w:hint="eastAsia"/>
                <w:szCs w:val="21"/>
              </w:rPr>
              <w:t>地形图修改整饰</w:t>
            </w:r>
            <w:r>
              <w:rPr>
                <w:rFonts w:hint="eastAsia"/>
                <w:lang w:val="en-US" w:eastAsia="zh-CN"/>
              </w:rPr>
              <w:t>------</w:t>
            </w:r>
            <w:r>
              <w:rPr>
                <w:rFonts w:hint="eastAsia"/>
                <w:szCs w:val="21"/>
              </w:rPr>
              <w:t>总体勘界图编辑、面积量算</w:t>
            </w:r>
            <w:r>
              <w:rPr>
                <w:rFonts w:hint="eastAsia"/>
                <w:szCs w:val="21"/>
                <w:lang w:val="en-US" w:eastAsia="zh-CN"/>
              </w:rPr>
              <w:t>------</w:t>
            </w:r>
            <w:r>
              <w:rPr>
                <w:rFonts w:hint="eastAsia"/>
                <w:szCs w:val="21"/>
              </w:rPr>
              <w:t>分幅地形图编辑与整饰</w:t>
            </w:r>
            <w:r>
              <w:rPr>
                <w:rFonts w:hint="eastAsia"/>
                <w:szCs w:val="21"/>
                <w:lang w:val="en-US" w:eastAsia="zh-CN"/>
              </w:rPr>
              <w:t>-----</w:t>
            </w:r>
            <w:r>
              <w:rPr>
                <w:rFonts w:hint="eastAsia"/>
              </w:rPr>
              <w:t>勘测定界报告编写</w:t>
            </w:r>
            <w:r>
              <w:rPr>
                <w:rFonts w:hint="eastAsia"/>
                <w:lang w:val="en-US" w:eastAsia="zh-CN"/>
              </w:rPr>
              <w:t>----质量检查--------</w:t>
            </w:r>
            <w:r>
              <w:rPr>
                <w:rFonts w:hint="eastAsia"/>
              </w:rPr>
              <w:t>阶段成果移交土整部并配合验收</w:t>
            </w:r>
            <w:r>
              <w:rPr>
                <w:rFonts w:hint="eastAsia"/>
                <w:lang w:val="en-US" w:eastAsia="zh-CN"/>
              </w:rPr>
              <w:t>---</w:t>
            </w:r>
            <w:r>
              <w:rPr>
                <w:rFonts w:hint="eastAsia"/>
              </w:rPr>
              <w:t>项目最终成果备份与提交</w:t>
            </w:r>
            <w:r>
              <w:rPr>
                <w:rFonts w:hint="eastAsia"/>
                <w:lang w:eastAsia="zh-CN"/>
              </w:rPr>
              <w:t>。</w:t>
            </w:r>
          </w:p>
          <w:p>
            <w:pPr>
              <w:jc w:val="center"/>
              <w:rPr>
                <w:rFonts w:hint="eastAsia"/>
              </w:rPr>
            </w:pPr>
          </w:p>
          <w:p>
            <w:pPr>
              <w:rPr>
                <w:rFonts w:hint="eastAsia"/>
                <w:lang w:eastAsia="zh-CN"/>
              </w:rPr>
            </w:pPr>
            <w:r>
              <w:rPr>
                <w:rFonts w:hint="eastAsia"/>
                <w:lang w:eastAsia="zh-CN"/>
              </w:rPr>
              <w:t>城乡规划流程：接任务</w:t>
            </w:r>
            <w:r>
              <w:rPr>
                <w:rFonts w:hint="eastAsia"/>
                <w:lang w:val="en-US" w:eastAsia="zh-CN"/>
              </w:rPr>
              <w:t>---资料收集---</w:t>
            </w:r>
            <w:r>
              <w:rPr>
                <w:rFonts w:hint="eastAsia"/>
                <w:lang w:eastAsia="zh-CN"/>
              </w:rPr>
              <w:t>基础分析与评价</w:t>
            </w:r>
            <w:r>
              <w:rPr>
                <w:rFonts w:hint="eastAsia"/>
                <w:lang w:val="en-US" w:eastAsia="zh-CN"/>
              </w:rPr>
              <w:t>---</w:t>
            </w:r>
            <w:r>
              <w:rPr>
                <w:rFonts w:hint="eastAsia"/>
                <w:lang w:eastAsia="zh-CN"/>
              </w:rPr>
              <w:t>专题研究</w:t>
            </w:r>
            <w:r>
              <w:rPr>
                <w:rFonts w:hint="eastAsia"/>
                <w:lang w:val="en-US" w:eastAsia="zh-CN"/>
              </w:rPr>
              <w:t>---</w:t>
            </w:r>
            <w:r>
              <w:rPr>
                <w:rFonts w:hint="eastAsia"/>
                <w:lang w:eastAsia="zh-CN"/>
              </w:rPr>
              <w:t>方案编制</w:t>
            </w:r>
            <w:r>
              <w:rPr>
                <w:rFonts w:hint="eastAsia"/>
                <w:lang w:val="en-US" w:eastAsia="zh-CN"/>
              </w:rPr>
              <w:t>----</w:t>
            </w:r>
            <w:r>
              <w:rPr>
                <w:rFonts w:hint="eastAsia"/>
                <w:lang w:eastAsia="zh-CN"/>
              </w:rPr>
              <w:t>调整完善</w:t>
            </w:r>
            <w:r>
              <w:rPr>
                <w:rFonts w:hint="eastAsia"/>
                <w:lang w:val="en-US" w:eastAsia="zh-CN"/>
              </w:rPr>
              <w:t>----</w:t>
            </w:r>
            <w:r>
              <w:rPr>
                <w:rFonts w:hint="eastAsia"/>
                <w:lang w:eastAsia="zh-CN"/>
              </w:rPr>
              <w:t>成果提交，审批</w:t>
            </w:r>
            <w:r>
              <w:rPr>
                <w:rFonts w:hint="eastAsia"/>
                <w:lang w:val="en-US" w:eastAsia="zh-CN"/>
              </w:rPr>
              <w:t>---</w:t>
            </w:r>
            <w:r>
              <w:rPr>
                <w:rFonts w:hint="eastAsia"/>
                <w:lang w:eastAsia="zh-CN"/>
              </w:rPr>
              <w:t>配套政策</w:t>
            </w:r>
            <w:r>
              <w:rPr>
                <w:rFonts w:hint="eastAsia"/>
                <w:lang w:val="en-US" w:eastAsia="zh-CN"/>
              </w:rPr>
              <w:t>---</w:t>
            </w:r>
            <w:r>
              <w:rPr>
                <w:rFonts w:hint="eastAsia"/>
                <w:lang w:eastAsia="zh-CN"/>
              </w:rPr>
              <w:t>实施监督</w:t>
            </w:r>
            <w:r>
              <w:rPr>
                <w:rFonts w:hint="eastAsia"/>
                <w:lang w:val="en-US" w:eastAsia="zh-CN"/>
              </w:rPr>
              <w:t>---</w:t>
            </w:r>
            <w:r>
              <w:rPr>
                <w:rFonts w:hint="eastAsia"/>
                <w:lang w:eastAsia="zh-CN"/>
              </w:rPr>
              <w:t>提交最终规划成果。</w:t>
            </w:r>
          </w:p>
          <w:p>
            <w:pPr>
              <w:rPr>
                <w:rFonts w:hint="eastAsia"/>
                <w:lang w:eastAsia="zh-CN"/>
              </w:rPr>
            </w:pPr>
          </w:p>
          <w:p>
            <w:pPr>
              <w:rPr>
                <w:rFonts w:hint="eastAsia" w:eastAsia="宋体"/>
                <w:highlight w:val="green"/>
                <w:lang w:val="en-US" w:eastAsia="zh-CN"/>
              </w:rPr>
            </w:pPr>
            <w:r>
              <w:rPr>
                <w:rFonts w:hint="eastAsia" w:ascii="宋体" w:hAnsi="宋体"/>
                <w:szCs w:val="21"/>
                <w:highlight w:val="green"/>
              </w:rPr>
              <w:t>土地整理</w:t>
            </w:r>
            <w:r>
              <w:rPr>
                <w:rFonts w:hint="eastAsia" w:ascii="宋体" w:hAnsi="宋体"/>
                <w:szCs w:val="21"/>
                <w:highlight w:val="green"/>
                <w:lang w:eastAsia="zh-CN"/>
              </w:rPr>
              <w:t>流程：还在整理中</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Cs w:val="21"/>
                <w:highlight w:val="green"/>
                <w:lang w:eastAsia="zh-CN"/>
              </w:rPr>
              <w:t>未确定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Cs w:val="21"/>
              </w:rPr>
              <w:t>产品和服务实现的策划控制程序</w:t>
            </w:r>
            <w:r>
              <w:rPr>
                <w:rFonts w:hint="eastAsia" w:ascii="宋体" w:hAnsi="宋体" w:cs="Times New Roman"/>
                <w:color w:val="000000"/>
                <w:sz w:val="20"/>
                <w:szCs w:val="20"/>
              </w:rPr>
              <w:t>、</w:t>
            </w:r>
            <w:r>
              <w:rPr>
                <w:rFonts w:hint="eastAsia" w:ascii="宋体" w:hAnsi="宋体"/>
                <w:color w:val="000000"/>
                <w:szCs w:val="21"/>
              </w:rPr>
              <w:t>与顾客和相关方有关的过程控制程序</w:t>
            </w:r>
            <w:r>
              <w:rPr>
                <w:rFonts w:hint="eastAsia" w:ascii="宋体" w:hAnsi="宋体" w:cs="Times New Roman"/>
                <w:color w:val="000000"/>
                <w:sz w:val="20"/>
                <w:szCs w:val="20"/>
              </w:rPr>
              <w:t>、</w:t>
            </w:r>
            <w:r>
              <w:rPr>
                <w:rFonts w:hint="eastAsia" w:ascii="宋体" w:hAnsi="宋体"/>
                <w:color w:val="000000"/>
                <w:szCs w:val="21"/>
              </w:rPr>
              <w:t>外部提供过程、产品、服务控制程序</w:t>
            </w:r>
            <w:r>
              <w:rPr>
                <w:rFonts w:hint="eastAsia" w:ascii="宋体" w:hAnsi="宋体"/>
                <w:color w:val="000000"/>
                <w:szCs w:val="21"/>
                <w:lang w:eastAsia="zh-CN"/>
              </w:rPr>
              <w:t>、</w:t>
            </w:r>
            <w:r>
              <w:rPr>
                <w:rFonts w:hint="eastAsia" w:ascii="宋体" w:hAnsi="宋体"/>
                <w:color w:val="000000"/>
                <w:szCs w:val="21"/>
              </w:rPr>
              <w:t>产品和服务提供控制程序</w:t>
            </w:r>
            <w:r>
              <w:rPr>
                <w:rFonts w:hint="eastAsia" w:ascii="宋体" w:hAnsi="宋体" w:cs="Times New Roman"/>
                <w:color w:val="000000"/>
                <w:sz w:val="20"/>
                <w:szCs w:val="20"/>
              </w:rPr>
              <w:t>等</w:t>
            </w:r>
            <w:r>
              <w:rPr>
                <w:rFonts w:hint="eastAsia" w:ascii="宋体" w:hAnsi="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highlight w:val="none"/>
              </w:rPr>
              <w:t>：</w:t>
            </w:r>
            <w:r>
              <w:rPr>
                <w:rFonts w:hint="eastAsia" w:ascii="宋体" w:hAnsi="宋体"/>
                <w:color w:val="000000"/>
                <w:szCs w:val="21"/>
                <w:highlight w:val="green"/>
                <w:lang w:eastAsia="zh-CN"/>
              </w:rPr>
              <w:t>未确定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s="宋体"/>
                <w:szCs w:val="21"/>
                <w:highlight w:val="green"/>
              </w:rPr>
            </w:pPr>
            <w:r>
              <w:rPr>
                <w:rFonts w:hint="eastAsia" w:ascii="宋体" w:hAnsi="宋体"/>
                <w:color w:val="000000"/>
                <w:spacing w:val="-10"/>
                <w:sz w:val="20"/>
                <w:szCs w:val="20"/>
              </w:rPr>
              <w:t>主要设备：</w:t>
            </w:r>
            <w:r>
              <w:rPr>
                <w:rFonts w:hint="eastAsia" w:ascii="宋体" w:hAnsi="宋体" w:cs="宋体"/>
                <w:szCs w:val="21"/>
                <w:highlight w:val="none"/>
                <w:lang w:eastAsia="zh-CN"/>
              </w:rPr>
              <w:t>全站仪、</w:t>
            </w:r>
            <w:r>
              <w:rPr>
                <w:rFonts w:hint="eastAsia" w:ascii="宋体" w:hAnsi="宋体" w:cs="宋体"/>
                <w:szCs w:val="21"/>
                <w:highlight w:val="none"/>
                <w:lang w:val="en-US" w:eastAsia="zh-CN"/>
              </w:rPr>
              <w:t>GNSS接收机、</w:t>
            </w:r>
            <w:r>
              <w:rPr>
                <w:rFonts w:hint="eastAsia" w:ascii="宋体" w:hAnsi="宋体" w:cs="宋体"/>
                <w:szCs w:val="21"/>
                <w:highlight w:val="none"/>
              </w:rPr>
              <w:t>电脑</w:t>
            </w:r>
            <w:r>
              <w:rPr>
                <w:rFonts w:hint="eastAsia" w:ascii="宋体" w:hAnsi="宋体" w:cs="宋体"/>
                <w:szCs w:val="21"/>
                <w:highlight w:val="none"/>
                <w:lang w:eastAsia="zh-CN"/>
              </w:rPr>
              <w:t>及</w:t>
            </w:r>
            <w:r>
              <w:rPr>
                <w:rFonts w:hint="eastAsia" w:ascii="宋体" w:hAnsi="宋体" w:cs="宋体"/>
                <w:szCs w:val="21"/>
                <w:highlight w:val="none"/>
              </w:rPr>
              <w:t>办公设备。</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hAnsi="宋体"/>
                <w:szCs w:val="21"/>
                <w:highlight w:val="green"/>
              </w:rPr>
            </w:pPr>
            <w:r>
              <w:rPr>
                <w:rFonts w:hint="eastAsia" w:ascii="宋体" w:hAnsi="宋体"/>
                <w:szCs w:val="21"/>
                <w:highlight w:val="green"/>
                <w:lang w:eastAsia="zh-CN"/>
              </w:rPr>
              <w:t>要落实核对</w:t>
            </w:r>
            <w:r>
              <w:rPr>
                <w:rFonts w:hint="eastAsia" w:ascii="宋体" w:hAnsi="宋体"/>
                <w:szCs w:val="21"/>
                <w:highlight w:val="green"/>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1）固废排放</w:t>
            </w:r>
            <w:r>
              <w:rPr>
                <w:rFonts w:hint="eastAsia" w:ascii="宋体" w:hAnsi="宋体" w:cs="宋体"/>
                <w:szCs w:val="21"/>
                <w:highlight w:val="none"/>
                <w:lang w:eastAsia="zh-CN"/>
              </w:rPr>
              <w:t>；</w:t>
            </w:r>
            <w:r>
              <w:rPr>
                <w:rFonts w:hint="eastAsia" w:ascii="宋体" w:hAnsi="宋体" w:cs="宋体"/>
                <w:szCs w:val="21"/>
                <w:highlight w:val="none"/>
                <w:lang w:val="en-US" w:eastAsia="zh-CN"/>
              </w:rPr>
              <w:t>2）潜在火灾</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针对重要环境因素建立了运行控制程序：有（1）环境因素的识别与评价控制程序；（2）运行控制程序。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针对重要环境因素是否明确了监视和测量的要求：有：过程的监视和测量控制程序。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szCs w:val="21"/>
                <w:highlight w:val="none"/>
              </w:rPr>
              <w:t>1）火灾；2）</w:t>
            </w:r>
            <w:r>
              <w:rPr>
                <w:rFonts w:hint="eastAsia"/>
                <w:szCs w:val="21"/>
                <w:highlight w:val="none"/>
                <w:lang w:eastAsia="zh-CN"/>
              </w:rPr>
              <w:t>触电；</w:t>
            </w:r>
            <w:r>
              <w:rPr>
                <w:rFonts w:hint="eastAsia"/>
                <w:szCs w:val="21"/>
                <w:highlight w:val="none"/>
                <w:lang w:val="en-US" w:eastAsia="zh-CN"/>
              </w:rPr>
              <w:t>3）</w:t>
            </w:r>
            <w:r>
              <w:rPr>
                <w:rFonts w:hint="eastAsia"/>
                <w:szCs w:val="21"/>
                <w:highlight w:val="none"/>
              </w:rPr>
              <w:t>人</w:t>
            </w:r>
            <w:r>
              <w:rPr>
                <w:rFonts w:hint="eastAsia"/>
                <w:szCs w:val="21"/>
                <w:highlight w:val="none"/>
                <w:lang w:eastAsia="zh-CN"/>
              </w:rPr>
              <w:t>身伤害（中暑、高空坠落、溺水、动物袭击）。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30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综合管理部</w:t>
            </w:r>
            <w:r>
              <w:rPr>
                <w:rFonts w:hint="eastAsia" w:ascii="宋体" w:hAnsi="宋体"/>
                <w:szCs w:val="21"/>
              </w:rPr>
              <w:t>、</w:t>
            </w:r>
            <w:r>
              <w:rPr>
                <w:rFonts w:hint="eastAsia" w:ascii="宋体" w:hAnsi="宋体"/>
                <w:szCs w:val="21"/>
                <w:lang w:eastAsia="zh-CN"/>
              </w:rPr>
              <w:t>项目部</w:t>
            </w:r>
            <w:r>
              <w:rPr>
                <w:rFonts w:hint="eastAsia" w:ascii="宋体" w:hAnsi="宋体"/>
                <w:szCs w:val="21"/>
              </w:rPr>
              <w:t>、</w:t>
            </w:r>
            <w:r>
              <w:rPr>
                <w:rFonts w:hint="eastAsia" w:ascii="宋体" w:hAnsi="宋体"/>
                <w:szCs w:val="21"/>
                <w:lang w:eastAsia="zh-CN"/>
              </w:rPr>
              <w:t>质检部</w:t>
            </w:r>
          </w:p>
          <w:p>
            <w:pPr>
              <w:spacing w:line="400" w:lineRule="exact"/>
              <w:rPr>
                <w:rFonts w:ascii="宋体"/>
                <w:b/>
                <w:color w:val="000000"/>
                <w:sz w:val="20"/>
                <w:szCs w:val="20"/>
              </w:rPr>
            </w:pPr>
            <w:r>
              <w:rPr>
                <w:rFonts w:hint="eastAsia" w:ascii="宋体" w:hAnsi="宋体"/>
                <w:b/>
                <w:color w:val="000000"/>
                <w:sz w:val="20"/>
                <w:szCs w:val="20"/>
              </w:rPr>
              <w:t>重点审核过程：产品销售和服务提供控制、顾客满意；产品和服务放行、不合格产品和服务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综合管理部</w:t>
            </w:r>
            <w:r>
              <w:rPr>
                <w:rFonts w:hint="eastAsia" w:ascii="宋体" w:hAnsi="宋体"/>
                <w:szCs w:val="21"/>
              </w:rPr>
              <w:t>、</w:t>
            </w:r>
            <w:r>
              <w:rPr>
                <w:rFonts w:hint="eastAsia" w:ascii="宋体" w:hAnsi="宋体"/>
                <w:szCs w:val="21"/>
                <w:lang w:eastAsia="zh-CN"/>
              </w:rPr>
              <w:t>项目部</w:t>
            </w:r>
            <w:r>
              <w:rPr>
                <w:rFonts w:hint="eastAsia" w:ascii="宋体" w:hAnsi="宋体"/>
                <w:szCs w:val="21"/>
              </w:rPr>
              <w:t>、</w:t>
            </w:r>
            <w:r>
              <w:rPr>
                <w:rFonts w:hint="eastAsia" w:ascii="宋体" w:hAnsi="宋体"/>
                <w:szCs w:val="21"/>
                <w:lang w:eastAsia="zh-CN"/>
              </w:rPr>
              <w:t>质检部。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综合管理部</w:t>
            </w:r>
            <w:r>
              <w:rPr>
                <w:rFonts w:hint="eastAsia" w:ascii="宋体" w:hAnsi="宋体"/>
                <w:szCs w:val="21"/>
              </w:rPr>
              <w:t>、</w:t>
            </w:r>
            <w:r>
              <w:rPr>
                <w:rFonts w:hint="eastAsia" w:ascii="宋体" w:hAnsi="宋体"/>
                <w:szCs w:val="21"/>
                <w:lang w:eastAsia="zh-CN"/>
              </w:rPr>
              <w:t>项目部</w:t>
            </w:r>
            <w:r>
              <w:rPr>
                <w:rFonts w:hint="eastAsia" w:ascii="宋体" w:hAnsi="宋体"/>
                <w:szCs w:val="21"/>
              </w:rPr>
              <w:t>、</w:t>
            </w:r>
            <w:r>
              <w:rPr>
                <w:rFonts w:hint="eastAsia" w:ascii="宋体" w:hAnsi="宋体"/>
                <w:szCs w:val="21"/>
                <w:lang w:eastAsia="zh-CN"/>
              </w:rPr>
              <w:t>质检部。</w:t>
            </w:r>
          </w:p>
          <w:p>
            <w:pPr>
              <w:spacing w:line="260" w:lineRule="exact"/>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服务</w:t>
            </w:r>
            <w:r>
              <w:rPr>
                <w:rFonts w:hint="eastAsia" w:ascii="宋体" w:hAnsi="宋体"/>
                <w:b/>
                <w:color w:val="000000"/>
                <w:sz w:val="20"/>
                <w:szCs w:val="20"/>
              </w:rPr>
              <w:t>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4日-5日</w:t>
            </w:r>
            <w:r>
              <w:rPr>
                <w:rFonts w:hint="eastAsia"/>
                <w:szCs w:val="21"/>
              </w:rPr>
              <w:t>进行了内部审核。</w:t>
            </w:r>
          </w:p>
          <w:p>
            <w:pPr>
              <w:spacing w:line="400" w:lineRule="exact"/>
              <w:rPr>
                <w:szCs w:val="21"/>
              </w:rPr>
            </w:pPr>
            <w:r>
              <w:rPr>
                <w:rFonts w:hint="eastAsia"/>
                <w:szCs w:val="21"/>
              </w:rPr>
              <w:t>内部审核组由：</w:t>
            </w:r>
            <w:r>
              <w:rPr>
                <w:rFonts w:hint="eastAsia" w:ascii="宋体" w:hAnsi="宋体"/>
                <w:szCs w:val="21"/>
                <w:lang w:eastAsia="zh-CN"/>
              </w:rPr>
              <w:t>吕梦力</w:t>
            </w:r>
            <w:r>
              <w:rPr>
                <w:rFonts w:hint="eastAsia"/>
                <w:szCs w:val="21"/>
              </w:rPr>
              <w:t>（组长）、</w:t>
            </w:r>
            <w:r>
              <w:rPr>
                <w:rFonts w:hint="eastAsia" w:ascii="宋体" w:hAnsi="宋体"/>
                <w:szCs w:val="21"/>
                <w:lang w:eastAsia="zh-CN"/>
              </w:rPr>
              <w:t>张强</w:t>
            </w:r>
            <w:r>
              <w:rPr>
                <w:rFonts w:hint="eastAsia"/>
                <w:szCs w:val="21"/>
              </w:rPr>
              <w:t>（组员）组成。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宋体" w:hAnsi="宋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资质范围内的测绘服务，土地整理，城乡规划服务</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资质范围内的测绘服务，土地整理，城乡规划服务所涉及的相关环境管理活动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资质范围内的测绘服务，土地整理，城乡规划服务所涉及的相关职业健康安全管理活动</w:t>
      </w:r>
      <w:r>
        <w:rPr>
          <w:rFonts w:hint="eastAsia" w:ascii="宋体" w:hAnsi="宋体"/>
          <w:szCs w:val="21"/>
          <w:lang w:eastAsia="zh-CN"/>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0288" behindDoc="0" locked="0" layoutInCell="1" allowOverlap="1">
            <wp:simplePos x="0" y="0"/>
            <wp:positionH relativeFrom="column">
              <wp:posOffset>1827530</wp:posOffset>
            </wp:positionH>
            <wp:positionV relativeFrom="paragraph">
              <wp:posOffset>288290</wp:posOffset>
            </wp:positionV>
            <wp:extent cx="421640" cy="436245"/>
            <wp:effectExtent l="0" t="0" r="5080" b="571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6"/>
                    <a:stretch>
                      <a:fillRect/>
                    </a:stretch>
                  </pic:blipFill>
                  <pic:spPr>
                    <a:xfrm>
                      <a:off x="0" y="0"/>
                      <a:ext cx="421640" cy="43624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5" w:name="_GoBack"/>
      <w:bookmarkEnd w:id="25"/>
    </w:p>
    <w:p>
      <w:pPr>
        <w:spacing w:line="400" w:lineRule="exact"/>
        <w:ind w:firstLine="880" w:firstLineChars="400"/>
        <w:rPr>
          <w:rFonts w:ascii="宋体"/>
          <w:b/>
          <w:color w:val="000000"/>
        </w:rPr>
      </w:pPr>
      <w:r>
        <w:rPr>
          <w:sz w:val="22"/>
          <w:szCs w:val="22"/>
        </w:rPr>
        <w:drawing>
          <wp:anchor distT="0" distB="0" distL="114300" distR="114300" simplePos="0" relativeHeight="251674624" behindDoc="0" locked="0" layoutInCell="1" allowOverlap="1">
            <wp:simplePos x="0" y="0"/>
            <wp:positionH relativeFrom="column">
              <wp:posOffset>2499360</wp:posOffset>
            </wp:positionH>
            <wp:positionV relativeFrom="paragraph">
              <wp:posOffset>41910</wp:posOffset>
            </wp:positionV>
            <wp:extent cx="473075" cy="323215"/>
            <wp:effectExtent l="0" t="0" r="14605" b="12065"/>
            <wp:wrapNone/>
            <wp:docPr id="7" name="图片 7" descr="8f3c74ae8a8311781342b1ba7ff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3c74ae8a8311781342b1ba7ffc5f3"/>
                    <pic:cNvPicPr>
                      <a:picLocks noChangeAspect="1"/>
                    </pic:cNvPicPr>
                  </pic:nvPicPr>
                  <pic:blipFill>
                    <a:blip r:embed="rId7"/>
                    <a:stretch>
                      <a:fillRect/>
                    </a:stretch>
                  </pic:blipFill>
                  <pic:spPr>
                    <a:xfrm>
                      <a:off x="3492500" y="3016885"/>
                      <a:ext cx="473075" cy="323215"/>
                    </a:xfrm>
                    <a:prstGeom prst="rect">
                      <a:avLst/>
                    </a:prstGeom>
                  </pic:spPr>
                </pic:pic>
              </a:graphicData>
            </a:graphic>
          </wp:anchor>
        </w:drawing>
      </w:r>
      <w:r>
        <w:rPr>
          <w:rFonts w:ascii="宋体" w:hAnsi="宋体"/>
          <w:sz w:val="24"/>
        </w:rPr>
        <w:drawing>
          <wp:anchor distT="0" distB="0" distL="0" distR="0" simplePos="0" relativeHeight="251658240" behindDoc="0" locked="0" layoutInCell="1" allowOverlap="1">
            <wp:simplePos x="0" y="0"/>
            <wp:positionH relativeFrom="column">
              <wp:posOffset>1787525</wp:posOffset>
            </wp:positionH>
            <wp:positionV relativeFrom="paragraph">
              <wp:posOffset>63500</wp:posOffset>
            </wp:positionV>
            <wp:extent cx="579755" cy="361315"/>
            <wp:effectExtent l="0" t="0" r="14605" b="4445"/>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noChangeArrowheads="1"/>
                    </pic:cNvPicPr>
                  </pic:nvPicPr>
                  <pic:blipFill>
                    <a:blip r:embed="rId8" cstate="print"/>
                    <a:srcRect/>
                    <a:stretch>
                      <a:fillRect/>
                    </a:stretch>
                  </pic:blipFill>
                  <pic:spPr>
                    <a:xfrm>
                      <a:off x="0" y="0"/>
                      <a:ext cx="579755" cy="36131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rPr>
        <w:t>20</w:t>
      </w:r>
      <w:r>
        <w:rPr>
          <w:rFonts w:hint="eastAsia" w:ascii="宋体" w:hAnsi="宋体"/>
          <w:b/>
          <w:color w:val="000000"/>
          <w:sz w:val="24"/>
          <w:lang w:val="en-US" w:eastAsia="zh-CN"/>
        </w:rPr>
        <w:t>20</w:t>
      </w:r>
      <w:r>
        <w:rPr>
          <w:rFonts w:hint="eastAsia" w:ascii="宋体" w:hAnsi="宋体"/>
          <w:b/>
          <w:color w:val="000000"/>
          <w:sz w:val="24"/>
        </w:rPr>
        <w:t>.</w:t>
      </w:r>
      <w:r>
        <w:rPr>
          <w:rFonts w:hint="eastAsia" w:ascii="宋体" w:hAnsi="宋体"/>
          <w:b/>
          <w:color w:val="000000"/>
          <w:sz w:val="24"/>
          <w:lang w:val="en-US" w:eastAsia="zh-CN"/>
        </w:rPr>
        <w:t>4</w:t>
      </w:r>
      <w:r>
        <w:rPr>
          <w:rFonts w:hint="eastAsia" w:ascii="宋体" w:hAnsi="宋体"/>
          <w:b/>
          <w:color w:val="000000"/>
          <w:sz w:val="24"/>
        </w:rPr>
        <w:t>.</w:t>
      </w:r>
      <w:r>
        <w:rPr>
          <w:rFonts w:hint="eastAsia" w:ascii="宋体" w:hAnsi="宋体"/>
          <w:b/>
          <w:color w:val="000000"/>
          <w:sz w:val="24"/>
          <w:lang w:val="en-US" w:eastAsia="zh-CN"/>
        </w:rPr>
        <w:t>15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四川安智信实业有限公司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4"/>
              <w:pBdr>
                <w:bottom w:val="none" w:color="auto" w:sz="0" w:space="0"/>
              </w:pBdr>
              <w:ind w:right="600"/>
              <w:jc w:val="left"/>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558800</wp:posOffset>
                  </wp:positionH>
                  <wp:positionV relativeFrom="paragraph">
                    <wp:posOffset>100330</wp:posOffset>
                  </wp:positionV>
                  <wp:extent cx="421640" cy="436245"/>
                  <wp:effectExtent l="0" t="0" r="5080" b="5715"/>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6"/>
                          <a:stretch>
                            <a:fillRect/>
                          </a:stretch>
                        </pic:blipFill>
                        <pic:spPr>
                          <a:xfrm>
                            <a:off x="0" y="0"/>
                            <a:ext cx="421640" cy="436245"/>
                          </a:xfrm>
                          <a:prstGeom prst="rect">
                            <a:avLst/>
                          </a:prstGeom>
                          <a:noFill/>
                          <a:ln>
                            <a:noFill/>
                          </a:ln>
                        </pic:spPr>
                      </pic:pic>
                    </a:graphicData>
                  </a:graphic>
                </wp:anchor>
              </w:drawing>
            </w: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吕梦力</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lang w:eastAsia="zh-CN"/>
              </w:rPr>
            </w:pPr>
            <w:r>
              <w:rPr>
                <w:rFonts w:hint="eastAsia"/>
                <w:b/>
                <w:sz w:val="22"/>
                <w:szCs w:val="22"/>
              </w:rPr>
              <w:drawing>
                <wp:anchor distT="0" distB="0" distL="114300" distR="114300" simplePos="0" relativeHeight="251667456" behindDoc="0" locked="0" layoutInCell="1" allowOverlap="1">
                  <wp:simplePos x="0" y="0"/>
                  <wp:positionH relativeFrom="column">
                    <wp:posOffset>570230</wp:posOffset>
                  </wp:positionH>
                  <wp:positionV relativeFrom="paragraph">
                    <wp:posOffset>210185</wp:posOffset>
                  </wp:positionV>
                  <wp:extent cx="421640" cy="436245"/>
                  <wp:effectExtent l="0" t="0" r="5080" b="571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pic:cNvPicPr>
                        </pic:nvPicPr>
                        <pic:blipFill>
                          <a:blip r:embed="rId6"/>
                          <a:stretch>
                            <a:fillRect/>
                          </a:stretch>
                        </pic:blipFill>
                        <pic:spPr>
                          <a:xfrm>
                            <a:off x="1016000" y="7273290"/>
                            <a:ext cx="421640" cy="436245"/>
                          </a:xfrm>
                          <a:prstGeom prst="rect">
                            <a:avLst/>
                          </a:prstGeom>
                          <a:noFill/>
                          <a:ln>
                            <a:noFill/>
                          </a:ln>
                        </pic:spPr>
                      </pic:pic>
                    </a:graphicData>
                  </a:graphic>
                </wp:anchor>
              </w:drawing>
            </w:r>
            <w:r>
              <w:rPr>
                <w:rFonts w:hint="eastAsia"/>
                <w:b/>
                <w:color w:val="000000"/>
                <w:spacing w:val="-10"/>
                <w:szCs w:val="21"/>
              </w:rPr>
              <w:t>推荐意见：■可进行二阶段审核□需再次安排一阶段审核□不进入二阶段审核</w:t>
            </w:r>
            <w:r>
              <w:rPr>
                <w:rFonts w:hint="eastAsia"/>
                <w:b/>
                <w:color w:val="000000"/>
                <w:spacing w:val="-10"/>
                <w:szCs w:val="21"/>
                <w:lang w:eastAsia="zh-CN"/>
              </w:rPr>
              <w:t>。</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4</w:t>
            </w:r>
            <w:r>
              <w:rPr>
                <w:rFonts w:hint="eastAsia"/>
                <w:b/>
                <w:color w:val="000000"/>
                <w:sz w:val="22"/>
                <w:szCs w:val="22"/>
              </w:rPr>
              <w:t xml:space="preserve"> 月 </w:t>
            </w:r>
            <w:r>
              <w:rPr>
                <w:rFonts w:hint="eastAsia"/>
                <w:b/>
                <w:color w:val="000000"/>
                <w:sz w:val="22"/>
                <w:szCs w:val="22"/>
                <w:lang w:val="en-US" w:eastAsia="zh-CN"/>
              </w:rPr>
              <w:t>15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04CBE"/>
    <w:rsid w:val="187C26A2"/>
    <w:rsid w:val="5EA036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2020-04-26T07:26:35Z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