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17862"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咸阳圣亚机电设备有限公司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20097-2024</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3424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20097-2024</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咸阳圣亚机电设备有限公司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刘思文</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ISC-2024-1743(有效)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2026年03月18日上午至2026年03月18日下午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孙保健</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82292"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