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0124-2020-QEO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霸州市鑫智教学设备有限公司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Bazhou Xinzhi teaching equipment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河北省廊坊市霸州市王庄子乡王庄子村</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065700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rFonts w:hint="eastAsia" w:eastAsia="宋体"/>
          <w:b w:val="0"/>
          <w:bCs/>
          <w:color w:val="000000" w:themeColor="text1"/>
          <w:sz w:val="22"/>
          <w:szCs w:val="22"/>
          <w:u w:val="single"/>
          <w:lang w:eastAsia="zh-CN"/>
        </w:rPr>
      </w:pPr>
      <w:r>
        <w:rPr>
          <w:rFonts w:hint="eastAsia"/>
          <w:b w:val="0"/>
          <w:bCs/>
          <w:color w:val="000000" w:themeColor="text1"/>
          <w:sz w:val="22"/>
          <w:szCs w:val="22"/>
        </w:rPr>
        <w:t>(英文)：Wangzhuangzi village, wangzhuangzi Township</w:t>
      </w:r>
      <w:r>
        <w:rPr>
          <w:rFonts w:hint="eastAsia"/>
          <w:b w:val="0"/>
          <w:bCs/>
          <w:color w:val="000000" w:themeColor="text1"/>
          <w:sz w:val="22"/>
          <w:szCs w:val="22"/>
          <w:lang w:val="en-US" w:eastAsia="zh-CN"/>
        </w:rPr>
        <w:t xml:space="preserve">, </w:t>
      </w:r>
      <w:r>
        <w:rPr>
          <w:rFonts w:hint="eastAsia"/>
          <w:b w:val="0"/>
          <w:bCs/>
          <w:color w:val="000000" w:themeColor="text1"/>
          <w:sz w:val="22"/>
          <w:szCs w:val="22"/>
          <w:lang w:eastAsia="zh-CN"/>
        </w:rPr>
        <w:t>Bazhou City, Langfang City, Hebei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r>
        <w:rPr>
          <w:b w:val="0"/>
          <w:bCs/>
          <w:sz w:val="21"/>
          <w:szCs w:val="21"/>
        </w:rPr>
        <w:t>河北省廊坊市霸州市</w:t>
      </w:r>
      <w:r>
        <w:rPr>
          <w:rFonts w:hint="eastAsia"/>
          <w:b w:val="0"/>
          <w:bCs/>
          <w:sz w:val="21"/>
          <w:szCs w:val="21"/>
        </w:rPr>
        <w:t>煎茶铺镇中台山村北</w:t>
      </w:r>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5" w:name="生产邮编"/>
      <w:r>
        <w:rPr>
          <w:b w:val="0"/>
          <w:bCs/>
          <w:color w:val="000000" w:themeColor="text1"/>
          <w:sz w:val="22"/>
          <w:szCs w:val="22"/>
        </w:rPr>
        <w:t>065700</w:t>
      </w:r>
      <w:bookmarkEnd w:id="5"/>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r>
        <w:rPr>
          <w:rFonts w:hint="eastAsia"/>
          <w:b w:val="0"/>
          <w:bCs/>
          <w:color w:val="000000" w:themeColor="text1"/>
          <w:sz w:val="22"/>
          <w:szCs w:val="22"/>
          <w:lang w:val="en-US" w:eastAsia="zh-CN"/>
        </w:rPr>
        <w:t>Z</w:t>
      </w:r>
      <w:r>
        <w:rPr>
          <w:rFonts w:hint="eastAsia"/>
          <w:b w:val="0"/>
          <w:bCs/>
          <w:color w:val="000000" w:themeColor="text1"/>
          <w:sz w:val="22"/>
          <w:szCs w:val="22"/>
        </w:rPr>
        <w:t>hongtaishan Village North</w:t>
      </w:r>
      <w:r>
        <w:rPr>
          <w:rFonts w:hint="eastAsia"/>
          <w:b w:val="0"/>
          <w:bCs/>
          <w:color w:val="000000" w:themeColor="text1"/>
          <w:sz w:val="22"/>
          <w:szCs w:val="22"/>
          <w:lang w:eastAsia="zh-CN"/>
        </w:rPr>
        <w:t>，</w:t>
      </w:r>
      <w:r>
        <w:rPr>
          <w:rFonts w:hint="eastAsia"/>
          <w:b w:val="0"/>
          <w:bCs/>
          <w:color w:val="000000" w:themeColor="text1"/>
          <w:sz w:val="22"/>
          <w:szCs w:val="22"/>
        </w:rPr>
        <w:t>Jianchapu town</w:t>
      </w:r>
      <w:r>
        <w:rPr>
          <w:rFonts w:hint="eastAsia"/>
          <w:b w:val="0"/>
          <w:bCs/>
          <w:color w:val="000000" w:themeColor="text1"/>
          <w:sz w:val="22"/>
          <w:szCs w:val="22"/>
          <w:lang w:val="en-US" w:eastAsia="zh-CN"/>
        </w:rPr>
        <w:t xml:space="preserve">, </w:t>
      </w:r>
      <w:r>
        <w:rPr>
          <w:rFonts w:hint="eastAsia"/>
          <w:b w:val="0"/>
          <w:bCs/>
          <w:color w:val="000000" w:themeColor="text1"/>
          <w:sz w:val="22"/>
          <w:szCs w:val="22"/>
          <w:lang w:eastAsia="zh-CN"/>
        </w:rPr>
        <w:t>Bazhou City, Langfang City, Hebei Province</w:t>
      </w:r>
      <w:r>
        <w:rPr>
          <w:rFonts w:hint="eastAsia"/>
          <w:b w:val="0"/>
          <w:bCs/>
          <w:color w:val="000000" w:themeColor="text1"/>
          <w:sz w:val="22"/>
          <w:szCs w:val="22"/>
        </w:rPr>
        <w:t xml:space="preserve"> </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6" w:name="机构代码"/>
      <w:r>
        <w:rPr>
          <w:rFonts w:hint="eastAsia"/>
          <w:b w:val="0"/>
          <w:bCs/>
          <w:color w:val="000000" w:themeColor="text1"/>
          <w:sz w:val="22"/>
          <w:szCs w:val="22"/>
        </w:rPr>
        <w:t>91131081MA07Y8G02M</w:t>
      </w:r>
      <w:bookmarkEnd w:id="6"/>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7" w:name="联系人传真"/>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8" w:name="联系人电话"/>
      <w:r>
        <w:rPr>
          <w:b w:val="0"/>
          <w:bCs/>
          <w:color w:val="000000" w:themeColor="text1"/>
          <w:sz w:val="22"/>
          <w:szCs w:val="22"/>
          <w:u w:val="single"/>
        </w:rPr>
        <w:t>13932647773</w:t>
      </w:r>
      <w:bookmarkEnd w:id="8"/>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9" w:name="法人"/>
      <w:r>
        <w:rPr>
          <w:rFonts w:hint="eastAsia"/>
          <w:b w:val="0"/>
          <w:bCs/>
          <w:color w:val="000000" w:themeColor="text1"/>
          <w:sz w:val="22"/>
          <w:szCs w:val="22"/>
        </w:rPr>
        <w:t>杨合香</w:t>
      </w:r>
      <w:bookmarkEnd w:id="9"/>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0" w:name="管理者代表"/>
      <w:r>
        <w:rPr>
          <w:rFonts w:hint="eastAsia"/>
          <w:b w:val="0"/>
          <w:bCs/>
          <w:color w:val="000000" w:themeColor="text1"/>
          <w:sz w:val="22"/>
          <w:szCs w:val="22"/>
        </w:rPr>
        <w:t>杨合香</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1" w:name="企业人数"/>
      <w:r>
        <w:rPr>
          <w:b w:val="0"/>
          <w:bCs/>
          <w:color w:val="000000" w:themeColor="text1"/>
          <w:sz w:val="22"/>
          <w:szCs w:val="22"/>
        </w:rPr>
        <w:t>25</w:t>
      </w:r>
      <w:bookmarkEnd w:id="11"/>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2" w:name="审核依据"/>
      <w:r>
        <w:rPr>
          <w:rFonts w:hint="eastAsia" w:ascii="宋体" w:hAnsi="宋体"/>
          <w:b w:val="0"/>
          <w:bCs/>
          <w:color w:val="000000" w:themeColor="text1"/>
          <w:sz w:val="22"/>
          <w:szCs w:val="22"/>
          <w:u w:val="single"/>
        </w:rPr>
        <w:t>Q：GB/T 19001-2016idtISO 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24001-2016idtISO 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 xml:space="preserve">O：GB/T </w:t>
      </w:r>
      <w:r>
        <w:rPr>
          <w:rFonts w:hint="eastAsia" w:ascii="宋体" w:hAnsi="宋体"/>
          <w:b w:val="0"/>
          <w:bCs/>
          <w:color w:val="000000" w:themeColor="text1"/>
          <w:sz w:val="22"/>
          <w:szCs w:val="22"/>
          <w:u w:val="single"/>
          <w:lang w:val="en-US" w:eastAsia="zh-CN"/>
        </w:rPr>
        <w:t>45</w:t>
      </w:r>
      <w:r>
        <w:rPr>
          <w:rFonts w:hint="eastAsia" w:ascii="宋体" w:hAnsi="宋体"/>
          <w:b w:val="0"/>
          <w:bCs/>
          <w:color w:val="000000" w:themeColor="text1"/>
          <w:sz w:val="22"/>
          <w:szCs w:val="22"/>
          <w:u w:val="single"/>
        </w:rPr>
        <w:t>001-20</w:t>
      </w:r>
      <w:r>
        <w:rPr>
          <w:rFonts w:hint="eastAsia" w:ascii="宋体" w:hAnsi="宋体"/>
          <w:b w:val="0"/>
          <w:bCs/>
          <w:color w:val="000000" w:themeColor="text1"/>
          <w:sz w:val="22"/>
          <w:szCs w:val="22"/>
          <w:u w:val="single"/>
          <w:lang w:val="en-US" w:eastAsia="zh-CN"/>
        </w:rPr>
        <w:t>20</w:t>
      </w:r>
      <w:r>
        <w:rPr>
          <w:rFonts w:hint="eastAsia" w:ascii="宋体" w:hAnsi="宋体"/>
          <w:b w:val="0"/>
          <w:bCs/>
          <w:color w:val="000000" w:themeColor="text1"/>
          <w:sz w:val="22"/>
          <w:szCs w:val="22"/>
          <w:u w:val="single"/>
        </w:rPr>
        <w:t>idtISO 45001：2018</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ascii="宋体" w:hAnsi="宋体" w:eastAsia="宋体"/>
          <w:b w:val="0"/>
          <w:bCs/>
          <w:color w:val="000000" w:themeColor="text1"/>
          <w:sz w:val="22"/>
          <w:szCs w:val="22"/>
          <w:u w:val="single"/>
          <w:lang w:val="en-US" w:eastAsia="zh-CN"/>
        </w:rPr>
      </w:pPr>
      <w:r>
        <w:rPr>
          <w:rFonts w:hint="eastAsia"/>
          <w:b w:val="0"/>
          <w:bCs/>
          <w:color w:val="000000" w:themeColor="text1"/>
          <w:spacing w:val="-2"/>
          <w:sz w:val="22"/>
          <w:szCs w:val="22"/>
        </w:rPr>
        <w:t>认证类型：</w:t>
      </w:r>
      <w:bookmarkStart w:id="13" w:name="审核类型"/>
      <w:r>
        <w:rPr>
          <w:rFonts w:hint="eastAsia"/>
          <w:b w:val="0"/>
          <w:bCs/>
          <w:color w:val="000000" w:themeColor="text1"/>
          <w:spacing w:val="-2"/>
          <w:sz w:val="22"/>
          <w:szCs w:val="22"/>
        </w:rPr>
        <w:t>Q:二阶段,E:二阶段,O:二阶段</w:t>
      </w:r>
      <w:bookmarkEnd w:id="13"/>
      <w:r>
        <w:rPr>
          <w:rFonts w:hint="eastAsia"/>
          <w:b w:val="0"/>
          <w:bCs/>
          <w:color w:val="000000" w:themeColor="text1"/>
          <w:spacing w:val="-2"/>
          <w:sz w:val="22"/>
          <w:szCs w:val="22"/>
          <w:lang w:val="en-US" w:eastAsia="zh-CN"/>
        </w:rPr>
        <w:t>(远程)</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bookmarkStart w:id="14" w:name="审核范围"/>
      <w:r>
        <w:rPr>
          <w:rFonts w:hint="eastAsia"/>
          <w:b w:val="0"/>
          <w:bCs/>
          <w:color w:val="000000" w:themeColor="text1"/>
          <w:sz w:val="22"/>
          <w:szCs w:val="22"/>
        </w:rPr>
        <w:t>Q：钢木家具（课桌凳、课桌椅、上下床、餐桌椅、排椅）的生产及销售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英文：Production and sales of steel and wood furniture (desks and chairs, desks and chairs, upper and lower beds, dining tables and chairs, row chairs)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E：钢木家具（课桌凳、课桌椅、上下床、餐桌椅、排椅）的生产及销售所涉及的环境管理活动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Production and sales of steel and wood furniture (desks and chairs, desks and chairs, upper and lower beds, dining tables and chairs, row chairs)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O：钢木家具（课桌凳、课桌椅、上下床、餐桌椅、排椅）的生产及销售所涉及的职业健康安全管理活动</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Production and sales of steel and wood furniture (desks and chairs, desks and chairs, upper and lower beds, dining tables and chairs, row chairs)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b w:val="0"/>
          <w:bCs/>
        </w:rPr>
        <w:drawing>
          <wp:anchor distT="0" distB="0" distL="114300" distR="114300" simplePos="0" relativeHeight="251665408" behindDoc="1" locked="0" layoutInCell="1" allowOverlap="1">
            <wp:simplePos x="0" y="0"/>
            <wp:positionH relativeFrom="column">
              <wp:posOffset>4058920</wp:posOffset>
            </wp:positionH>
            <wp:positionV relativeFrom="paragraph">
              <wp:posOffset>213995</wp:posOffset>
            </wp:positionV>
            <wp:extent cx="1156335" cy="467995"/>
            <wp:effectExtent l="0" t="0" r="12065"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156335" cy="467995"/>
                    </a:xfrm>
                    <a:prstGeom prst="rect">
                      <a:avLst/>
                    </a:prstGeom>
                    <a:noFill/>
                    <a:ln>
                      <a:noFill/>
                    </a:ln>
                  </pic:spPr>
                </pic:pic>
              </a:graphicData>
            </a:graphic>
          </wp:anchor>
        </w:drawing>
      </w: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2020.4.23                                   </w:t>
      </w:r>
      <w:r>
        <w:rPr>
          <w:rFonts w:hint="eastAsia"/>
          <w:b w:val="0"/>
          <w:bCs/>
          <w:color w:val="000000" w:themeColor="text1"/>
          <w:sz w:val="22"/>
          <w:szCs w:val="22"/>
        </w:rPr>
        <w:t>日期：</w:t>
      </w:r>
      <w:r>
        <w:rPr>
          <w:rFonts w:hint="eastAsia"/>
          <w:b w:val="0"/>
          <w:bCs/>
          <w:color w:val="000000" w:themeColor="text1"/>
          <w:sz w:val="22"/>
          <w:szCs w:val="22"/>
          <w:lang w:val="en-US" w:eastAsia="zh-CN"/>
        </w:rPr>
        <w:t>2020.4.23</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bookmarkStart w:id="15" w:name="_GoBack"/>
      <w:bookmarkEnd w:id="15"/>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85605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2020-04-23T02:19:14Z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