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3" w:firstLineChars="49"/>
        <w:jc w:val="right"/>
        <w:rPr>
          <w:color w:val="000000"/>
        </w:rPr>
      </w:pPr>
      <w:r>
        <w:rPr>
          <w:rFonts w:hint="eastAsia" w:ascii="楷体" w:hAnsi="楷体" w:eastAsia="楷体"/>
          <w:color w:val="000000"/>
          <w:sz w:val="21"/>
          <w:szCs w:val="21"/>
        </w:rPr>
        <w:t>合同编号：</w:t>
      </w:r>
      <w:bookmarkStart w:id="0" w:name="合同编号"/>
      <w:r>
        <w:rPr>
          <w:color w:val="000000"/>
          <w:sz w:val="21"/>
          <w:szCs w:val="21"/>
        </w:rPr>
        <w:t>012</w:t>
      </w:r>
      <w:r>
        <w:rPr>
          <w:rFonts w:hint="eastAsia"/>
          <w:color w:val="000000"/>
          <w:sz w:val="21"/>
          <w:szCs w:val="21"/>
          <w:lang w:val="en-US" w:eastAsia="zh-CN"/>
        </w:rPr>
        <w:t>3</w:t>
      </w:r>
      <w:r>
        <w:rPr>
          <w:color w:val="000000"/>
          <w:sz w:val="21"/>
          <w:szCs w:val="21"/>
        </w:rPr>
        <w:t>-2020-QEO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石家庄市晟邦家具有限公司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23"/>
        <w:gridCol w:w="3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23" w:type="dxa"/>
            <w:vAlign w:val="center"/>
          </w:tcPr>
          <w:p>
            <w:pPr>
              <w:rPr>
                <w:b/>
                <w:color w:val="000000"/>
                <w:sz w:val="20"/>
                <w:szCs w:val="20"/>
              </w:rPr>
            </w:pPr>
            <w:r>
              <w:rPr>
                <w:rFonts w:hint="eastAsia"/>
                <w:b/>
                <w:color w:val="000000"/>
                <w:sz w:val="20"/>
                <w:szCs w:val="20"/>
              </w:rPr>
              <w:t>邮箱</w:t>
            </w:r>
          </w:p>
        </w:tc>
        <w:tc>
          <w:tcPr>
            <w:tcW w:w="25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b/>
                <w:color w:val="000000"/>
                <w:sz w:val="20"/>
                <w:szCs w:val="20"/>
              </w:rPr>
            </w:pPr>
            <w:r>
              <w:rPr>
                <w:rFonts w:hint="eastAsia"/>
                <w:b/>
                <w:color w:val="000000"/>
                <w:sz w:val="20"/>
                <w:szCs w:val="20"/>
              </w:rPr>
              <w:t>2020-N1OHSMS-3022240</w:t>
            </w:r>
          </w:p>
        </w:tc>
        <w:tc>
          <w:tcPr>
            <w:tcW w:w="2179" w:type="dxa"/>
            <w:gridSpan w:val="2"/>
            <w:vAlign w:val="center"/>
          </w:tcPr>
          <w:p>
            <w:pPr>
              <w:spacing w:line="240" w:lineRule="exact"/>
              <w:jc w:val="center"/>
              <w:rPr>
                <w:b/>
                <w:color w:val="000000"/>
                <w:sz w:val="20"/>
                <w:szCs w:val="20"/>
              </w:rPr>
            </w:pPr>
            <w:r>
              <w:rPr>
                <w:b/>
                <w:color w:val="000000"/>
                <w:sz w:val="20"/>
                <w:szCs w:val="20"/>
              </w:rPr>
              <w:t>Q:23.01.01</w:t>
            </w:r>
          </w:p>
          <w:p>
            <w:pPr>
              <w:spacing w:line="240" w:lineRule="exact"/>
              <w:jc w:val="center"/>
              <w:rPr>
                <w:b/>
                <w:color w:val="000000"/>
                <w:sz w:val="20"/>
                <w:szCs w:val="20"/>
              </w:rPr>
            </w:pPr>
            <w:r>
              <w:rPr>
                <w:b/>
                <w:color w:val="000000"/>
                <w:sz w:val="20"/>
                <w:szCs w:val="20"/>
              </w:rPr>
              <w:t>E:23.01.01</w:t>
            </w:r>
          </w:p>
          <w:p>
            <w:pPr>
              <w:spacing w:line="240" w:lineRule="exact"/>
              <w:jc w:val="center"/>
              <w:rPr>
                <w:b/>
                <w:color w:val="000000"/>
                <w:sz w:val="20"/>
                <w:szCs w:val="20"/>
              </w:rPr>
            </w:pPr>
            <w:r>
              <w:rPr>
                <w:b/>
                <w:color w:val="000000"/>
                <w:sz w:val="20"/>
                <w:szCs w:val="20"/>
              </w:rP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2018-N1QMS-2205805</w:t>
            </w:r>
          </w:p>
          <w:p>
            <w:pPr>
              <w:spacing w:line="240" w:lineRule="exact"/>
              <w:jc w:val="center"/>
              <w:rPr>
                <w:b/>
                <w:color w:val="000000"/>
                <w:sz w:val="20"/>
                <w:szCs w:val="20"/>
              </w:rPr>
            </w:pPr>
            <w:r>
              <w:rPr>
                <w:rFonts w:hint="eastAsia"/>
                <w:b/>
                <w:color w:val="000000"/>
                <w:sz w:val="20"/>
                <w:szCs w:val="20"/>
              </w:rPr>
              <w:t>2018-N1EMS-2205805</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2020-N0QMS-1263722</w:t>
            </w:r>
          </w:p>
          <w:p>
            <w:pPr>
              <w:spacing w:line="240" w:lineRule="exact"/>
              <w:jc w:val="center"/>
              <w:rPr>
                <w:b/>
                <w:color w:val="000000"/>
                <w:sz w:val="20"/>
                <w:szCs w:val="20"/>
              </w:rPr>
            </w:pPr>
            <w:r>
              <w:rPr>
                <w:rFonts w:hint="eastAsia"/>
                <w:b/>
                <w:color w:val="000000"/>
                <w:sz w:val="20"/>
                <w:szCs w:val="20"/>
              </w:rPr>
              <w:t>2020-N0EMS-1263722</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rPr>
          <w:rFonts w:hint="eastAsia" w:ascii="宋体" w:hAnsi="宋体"/>
          <w:b/>
          <w:color w:val="000000"/>
          <w:spacing w:val="-8"/>
          <w:sz w:val="26"/>
          <w:szCs w:val="26"/>
        </w:rPr>
      </w:pPr>
      <w:r>
        <w:rPr>
          <w:rFonts w:hint="eastAsia" w:ascii="宋体" w:hAnsi="宋体"/>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rPr>
          <w:rFonts w:hint="eastAsia" w:ascii="宋体" w:hAnsi="宋体"/>
          <w:b/>
          <w:color w:val="000000"/>
          <w:spacing w:val="-8"/>
          <w:sz w:val="26"/>
          <w:szCs w:val="26"/>
        </w:rPr>
      </w:pPr>
      <w:r>
        <w:rPr>
          <w:rFonts w:hint="eastAsia" w:ascii="宋体" w:hAnsi="宋体"/>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23"/>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石家庄市晟邦家具有限公司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注册地址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5" w:name="注册地址"/>
            <w:r>
              <w:t>河北省石家庄市行唐县经济开发区科技大街路北</w:t>
            </w:r>
            <w:bookmarkEnd w:id="5"/>
          </w:p>
        </w:tc>
        <w:tc>
          <w:tcPr>
            <w:tcW w:w="823"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hAnsi="宋体"/>
                <w:b/>
                <w:bCs w:val="0"/>
                <w:color w:val="000000"/>
                <w:sz w:val="20"/>
                <w:szCs w:val="20"/>
              </w:rPr>
              <w:t>邮编</w:t>
            </w:r>
          </w:p>
        </w:tc>
        <w:tc>
          <w:tcPr>
            <w:tcW w:w="197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052160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经营地址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6" w:name="经营地址"/>
            <w:bookmarkEnd w:id="6"/>
            <w:bookmarkStart w:id="7" w:name="生产地址"/>
            <w:r>
              <w:t>河北省石家庄市行唐县经济开发区科技大街路北 1 号车间</w:t>
            </w:r>
            <w:bookmarkEnd w:id="7"/>
          </w:p>
        </w:tc>
        <w:tc>
          <w:tcPr>
            <w:tcW w:w="823"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p>
        </w:tc>
        <w:tc>
          <w:tcPr>
            <w:tcW w:w="197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eastAsia="zh-CN"/>
              </w:rPr>
            </w:pPr>
            <w:bookmarkStart w:id="8" w:name="经营邮编"/>
            <w:bookmarkEnd w:id="8"/>
            <w:r>
              <w:rPr>
                <w:rFonts w:hint="eastAsia" w:ascii="宋体"/>
                <w:b w:val="0"/>
                <w:bCs/>
                <w:color w:val="000000"/>
                <w:sz w:val="20"/>
                <w:szCs w:val="20"/>
                <w:lang w:eastAsia="zh-CN"/>
              </w:rPr>
              <w:t>052160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生产地址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t>河北省石家庄市行唐县经济开发区科技大街路北 1 号车间</w:t>
            </w:r>
          </w:p>
        </w:tc>
        <w:tc>
          <w:tcPr>
            <w:tcW w:w="823"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p>
        </w:tc>
        <w:tc>
          <w:tcPr>
            <w:tcW w:w="197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eastAsia="zh-CN"/>
              </w:rPr>
            </w:pPr>
            <w:r>
              <w:rPr>
                <w:rFonts w:hint="eastAsia" w:ascii="宋体"/>
                <w:b w:val="0"/>
                <w:bCs/>
                <w:color w:val="000000"/>
                <w:sz w:val="20"/>
                <w:szCs w:val="20"/>
                <w:lang w:eastAsia="zh-CN"/>
              </w:rPr>
              <w:t>052160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9" w:name="联系人"/>
            <w:r>
              <w:t>郭晓榜</w:t>
            </w:r>
            <w:bookmarkEnd w:id="9"/>
          </w:p>
        </w:tc>
        <w:tc>
          <w:tcPr>
            <w:tcW w:w="1463"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hAnsi="宋体"/>
                <w:b/>
                <w:bCs w:val="0"/>
                <w:color w:val="000000"/>
                <w:sz w:val="20"/>
                <w:szCs w:val="20"/>
              </w:rPr>
              <w:t>电话</w:t>
            </w:r>
          </w:p>
        </w:tc>
        <w:tc>
          <w:tcPr>
            <w:tcW w:w="218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0" w:name="联系人电话"/>
            <w:r>
              <w:t>15831139999</w:t>
            </w:r>
            <w:bookmarkEnd w:id="10"/>
          </w:p>
        </w:tc>
        <w:tc>
          <w:tcPr>
            <w:tcW w:w="823"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hAnsi="宋体"/>
                <w:b/>
                <w:bCs w:val="0"/>
                <w:color w:val="000000"/>
                <w:sz w:val="20"/>
                <w:szCs w:val="20"/>
              </w:rPr>
              <w:t>传真</w:t>
            </w:r>
          </w:p>
        </w:tc>
        <w:tc>
          <w:tcPr>
            <w:tcW w:w="197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val="en-US" w:eastAsia="zh-CN"/>
              </w:rPr>
            </w:pPr>
            <w:bookmarkStart w:id="11" w:name="联系人传真Add1"/>
            <w:bookmarkEnd w:id="11"/>
            <w:r>
              <w:rPr>
                <w:rFonts w:hint="eastAsia" w:ascii="宋体"/>
                <w:b w:val="0"/>
                <w:bCs/>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t>郭晓榜</w:t>
            </w:r>
          </w:p>
        </w:tc>
        <w:tc>
          <w:tcPr>
            <w:tcW w:w="1463"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hAnsi="宋体"/>
                <w:b/>
                <w:bCs w:val="0"/>
                <w:color w:val="000000"/>
                <w:sz w:val="20"/>
                <w:szCs w:val="20"/>
              </w:rPr>
              <w:t>管理者代表</w:t>
            </w:r>
          </w:p>
        </w:tc>
        <w:tc>
          <w:tcPr>
            <w:tcW w:w="218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苗丽</w:t>
            </w:r>
          </w:p>
        </w:tc>
        <w:tc>
          <w:tcPr>
            <w:tcW w:w="823"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b/>
                <w:bCs w:val="0"/>
                <w:color w:val="000000"/>
                <w:sz w:val="20"/>
                <w:szCs w:val="20"/>
              </w:rPr>
              <w:t>邮箱</w:t>
            </w:r>
          </w:p>
        </w:tc>
        <w:tc>
          <w:tcPr>
            <w:tcW w:w="197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hint="eastAsia" w:ascii="宋体"/>
                <w:b w:val="0"/>
                <w:bCs/>
                <w:color w:val="000000"/>
                <w:sz w:val="20"/>
                <w:szCs w:val="20"/>
              </w:rPr>
              <w:t>ZSHRZ_511@163.com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2019年12月15日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u w:val="single"/>
              </w:rPr>
            </w:pPr>
            <w:bookmarkStart w:id="12" w:name="审核范围"/>
            <w:r>
              <w:rPr>
                <w:rFonts w:ascii="宋体" w:hAnsi="宋体"/>
                <w:b w:val="0"/>
                <w:bCs/>
                <w:color w:val="000000"/>
                <w:sz w:val="20"/>
                <w:szCs w:val="20"/>
              </w:rPr>
              <w:t>Q：</w:t>
            </w:r>
            <w:r>
              <w:rPr>
                <w:rFonts w:hint="eastAsia" w:ascii="宋体" w:hAnsi="宋体"/>
                <w:b w:val="0"/>
                <w:bCs/>
                <w:color w:val="000000"/>
                <w:sz w:val="20"/>
                <w:szCs w:val="20"/>
                <w:lang w:eastAsia="zh-CN"/>
              </w:rPr>
              <w:t>办公家具</w:t>
            </w:r>
            <w:r>
              <w:rPr>
                <w:rFonts w:ascii="宋体" w:hAnsi="宋体"/>
                <w:b w:val="0"/>
                <w:bCs/>
                <w:color w:val="000000"/>
                <w:sz w:val="20"/>
                <w:szCs w:val="20"/>
              </w:rPr>
              <w:t>的生产及销售</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宋体"/>
                <w:b w:val="0"/>
                <w:bCs/>
                <w:color w:val="000000"/>
                <w:sz w:val="20"/>
                <w:szCs w:val="20"/>
              </w:rPr>
            </w:pPr>
            <w:r>
              <w:rPr>
                <w:rFonts w:ascii="宋体" w:hAnsi="宋体"/>
                <w:b w:val="0"/>
                <w:bCs/>
                <w:color w:val="000000"/>
                <w:sz w:val="20"/>
                <w:szCs w:val="20"/>
              </w:rPr>
              <w:t>E：</w:t>
            </w:r>
            <w:r>
              <w:rPr>
                <w:rFonts w:hint="eastAsia" w:ascii="宋体" w:hAnsi="宋体"/>
                <w:b w:val="0"/>
                <w:bCs/>
                <w:color w:val="000000"/>
                <w:sz w:val="20"/>
                <w:szCs w:val="20"/>
                <w:lang w:eastAsia="zh-CN"/>
              </w:rPr>
              <w:t>办公家具</w:t>
            </w:r>
            <w:r>
              <w:rPr>
                <w:rFonts w:ascii="宋体" w:hAnsi="宋体"/>
                <w:b w:val="0"/>
                <w:bCs/>
                <w:color w:val="000000"/>
                <w:sz w:val="20"/>
                <w:szCs w:val="20"/>
              </w:rPr>
              <w:t>的生产及销售所涉及的环境管理活动</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宋体"/>
                <w:b w:val="0"/>
                <w:bCs/>
                <w:color w:val="000000"/>
                <w:sz w:val="20"/>
                <w:szCs w:val="20"/>
              </w:rPr>
            </w:pPr>
            <w:r>
              <w:rPr>
                <w:rFonts w:ascii="宋体" w:hAnsi="宋体"/>
                <w:b w:val="0"/>
                <w:bCs/>
                <w:color w:val="000000"/>
                <w:sz w:val="20"/>
                <w:szCs w:val="20"/>
              </w:rPr>
              <w:t>O：</w:t>
            </w:r>
            <w:r>
              <w:rPr>
                <w:rFonts w:hint="eastAsia" w:ascii="宋体" w:hAnsi="宋体"/>
                <w:b w:val="0"/>
                <w:bCs/>
                <w:color w:val="000000"/>
                <w:sz w:val="20"/>
                <w:szCs w:val="20"/>
                <w:lang w:eastAsia="zh-CN"/>
              </w:rPr>
              <w:t>办公家具</w:t>
            </w:r>
            <w:r>
              <w:rPr>
                <w:rFonts w:ascii="宋体" w:hAnsi="宋体"/>
                <w:b w:val="0"/>
                <w:bCs/>
                <w:color w:val="000000"/>
                <w:sz w:val="20"/>
                <w:szCs w:val="20"/>
              </w:rPr>
              <w:t>的生产及销售所涉及的职业健康安全管理活动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pacing w:val="-8"/>
                <w:sz w:val="20"/>
                <w:szCs w:val="20"/>
              </w:rPr>
            </w:pPr>
            <w:r>
              <w:rPr>
                <w:rFonts w:hint="eastAsia" w:ascii="宋体" w:hAnsi="宋体"/>
                <w:b/>
                <w:bCs w:val="0"/>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3" w:name="专业代码"/>
            <w:r>
              <w:rPr>
                <w:rFonts w:ascii="宋体"/>
                <w:b w:val="0"/>
                <w:bCs/>
                <w:color w:val="000000"/>
                <w:sz w:val="20"/>
                <w:szCs w:val="20"/>
              </w:rPr>
              <w:t>Q：23.01.01</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ascii="宋体"/>
                <w:b w:val="0"/>
                <w:bCs/>
                <w:color w:val="000000"/>
                <w:sz w:val="20"/>
                <w:szCs w:val="20"/>
              </w:rPr>
              <w:t>E：23.01.01</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ascii="宋体"/>
                <w:b w:val="0"/>
                <w:bCs/>
                <w:color w:val="000000"/>
                <w:sz w:val="20"/>
                <w:szCs w:val="20"/>
              </w:rPr>
              <w:t>O：23.01.01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val="en-US" w:eastAsia="zh-CN"/>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hint="eastAsia" w:ascii="宋体" w:hAnsi="宋体"/>
                <w:b w:val="0"/>
                <w:bCs/>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val="en-US" w:eastAsia="zh-CN"/>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hint="eastAsia" w:ascii="宋体" w:hAnsi="宋体"/>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837"/>
        <w:gridCol w:w="6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2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534" w:type="dxa"/>
          </w:tcPr>
          <w:p>
            <w:pPr>
              <w:keepNext w:val="0"/>
              <w:keepLines w:val="0"/>
              <w:pageBreakBefore w:val="0"/>
              <w:widowControl w:val="0"/>
              <w:tabs>
                <w:tab w:val="left" w:pos="360"/>
              </w:tabs>
              <w:kinsoku/>
              <w:wordWrap/>
              <w:overflowPunct/>
              <w:topLinePunct w:val="0"/>
              <w:autoSpaceDE/>
              <w:autoSpaceDN/>
              <w:bidi w:val="0"/>
              <w:adjustRightInd/>
              <w:snapToGrid/>
              <w:spacing w:line="300" w:lineRule="exact"/>
              <w:textAlignment w:val="auto"/>
              <w:rPr>
                <w:rFonts w:ascii="宋体"/>
                <w:b/>
                <w:color w:val="000000"/>
                <w:sz w:val="20"/>
                <w:szCs w:val="20"/>
              </w:rPr>
            </w:pPr>
            <w:r>
              <w:rPr>
                <w:rFonts w:hint="eastAsia" w:ascii="宋体" w:hAnsi="宋体"/>
                <w:sz w:val="21"/>
                <w:szCs w:val="21"/>
                <w:lang w:eastAsia="zh-CN"/>
              </w:rPr>
              <w:t>办公家具</w:t>
            </w:r>
            <w:r>
              <w:rPr>
                <w:rFonts w:hint="eastAsia" w:ascii="宋体" w:hAnsi="宋体"/>
                <w:sz w:val="21"/>
                <w:szCs w:val="21"/>
              </w:rPr>
              <w:t>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534"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办公室、质检部、生产部、业务部、财务部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0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00" w:lineRule="exact"/>
              <w:ind w:firstLine="33"/>
              <w:textAlignment w:val="auto"/>
              <w:rPr>
                <w:rFonts w:ascii="宋体"/>
                <w:b/>
                <w:color w:val="000000"/>
                <w:sz w:val="20"/>
                <w:szCs w:val="20"/>
              </w:rPr>
            </w:pPr>
            <w:r>
              <w:rPr>
                <w:rFonts w:hint="eastAsia" w:ascii="宋体" w:hAnsi="宋体"/>
                <w:b/>
                <w:color w:val="000000"/>
                <w:sz w:val="20"/>
                <w:szCs w:val="20"/>
              </w:rPr>
              <w:t>客户的场所：</w:t>
            </w:r>
            <w:r>
              <w:t>河北省石家庄市行唐县经济开发区科技大街路北 1 号车间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jc w:val="both"/>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color w:val="000000"/>
                <w:sz w:val="20"/>
                <w:szCs w:val="20"/>
              </w:rPr>
            </w:pPr>
            <w:r>
              <w:rPr>
                <w:rFonts w:hint="eastAsia" w:ascii="宋体" w:hAnsi="宋体"/>
                <w:color w:val="000000"/>
                <w:sz w:val="20"/>
                <w:szCs w:val="20"/>
              </w:rPr>
              <w:t>受审核方位于：</w:t>
            </w:r>
            <w:r>
              <w:t>河北省石家庄市行唐县经济开发区科技大街路北 1 号车间</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Style w:val="9"/>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eastAsia" w:cs="Times New Roman"/>
                <w:color w:val="000000"/>
                <w:szCs w:val="21"/>
                <w:highlight w:val="none"/>
                <w:lang w:eastAsia="zh-CN"/>
              </w:rPr>
              <w:t>、</w:t>
            </w:r>
            <w:r>
              <w:rPr>
                <w:rFonts w:hint="default" w:ascii="Times New Roman" w:hAnsi="Times New Roman" w:cs="Times New Roman"/>
                <w:sz w:val="21"/>
                <w:szCs w:val="21"/>
              </w:rPr>
              <w:t>GB/T 3324-2017《木家具通用技术条件》</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sz w:val="21"/>
                <w:szCs w:val="21"/>
              </w:rPr>
            </w:pPr>
            <w:r>
              <w:rPr>
                <w:rFonts w:hint="eastAsia"/>
                <w:sz w:val="21"/>
                <w:szCs w:val="21"/>
              </w:rPr>
              <w:t>钢木家具：饰面人造板→下料→排孔→封边→（+钢制件）→组装→成品</w:t>
            </w:r>
          </w:p>
          <w:p>
            <w:pPr>
              <w:rPr>
                <w:rFonts w:ascii="宋体"/>
                <w:color w:val="000000"/>
                <w:sz w:val="20"/>
                <w:szCs w:val="20"/>
              </w:rPr>
            </w:pPr>
            <w:r>
              <w:rPr>
                <w:rFonts w:hint="eastAsia"/>
                <w:sz w:val="21"/>
                <w:szCs w:val="21"/>
              </w:rPr>
              <w:t>木制家具：开料→封边→排孔→底漆→打磨→面漆→自然风干→组装→成品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组装作业指导书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u w:val="none"/>
                <w:lang w:val="en-US" w:eastAsia="zh-CN"/>
              </w:rPr>
              <w:t>封边</w:t>
            </w:r>
            <w:r>
              <w:rPr>
                <w:rFonts w:hint="eastAsia"/>
                <w:u w:val="none"/>
                <w:lang w:eastAsia="zh-CN"/>
              </w:rPr>
              <w:t>、喷</w:t>
            </w:r>
            <w:r>
              <w:rPr>
                <w:rFonts w:hint="eastAsia"/>
                <w:u w:val="none"/>
                <w:lang w:val="en-US" w:eastAsia="zh-CN"/>
              </w:rPr>
              <w:t>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外包过程有：</w:t>
            </w:r>
            <w:r>
              <w:rPr>
                <w:rFonts w:hint="eastAsia"/>
                <w:u w:val="none"/>
                <w:lang w:val="en-US" w:eastAsia="zh-CN"/>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highlight w:val="none"/>
                <w:lang w:val="en-US" w:eastAsia="zh-CN"/>
              </w:rPr>
              <w:t>精密推台锯、排钻机、木工砂光机、封边机、修边机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钢直尺、游标卡尺、钢卷尺、直角尺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面积1900平米，</w:t>
            </w:r>
            <w:r>
              <w:rPr>
                <w:rFonts w:hint="eastAsia"/>
                <w:sz w:val="21"/>
                <w:szCs w:val="21"/>
                <w:lang w:eastAsia="zh-CN"/>
              </w:rPr>
              <w:t>工序布局合理，场所卫生干净整洁，配有通风设施，工作环境良好</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color w:val="000000"/>
                <w:sz w:val="20"/>
                <w:szCs w:val="20"/>
                <w:lang w:val="en-US"/>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生产部、业务部、质检部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keepNext w:val="0"/>
              <w:keepLines w:val="0"/>
              <w:pageBreakBefore w:val="0"/>
              <w:widowControl w:val="0"/>
              <w:kinsoku/>
              <w:wordWrap/>
              <w:overflowPunct/>
              <w:topLinePunct w:val="0"/>
              <w:autoSpaceDE/>
              <w:autoSpaceDN/>
              <w:bidi w:val="0"/>
              <w:adjustRightInd/>
              <w:snapToGrid/>
              <w:spacing w:line="360" w:lineRule="exact"/>
              <w:ind w:left="301" w:hanging="301" w:hangingChars="150"/>
              <w:textAlignment w:val="auto"/>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keepNext w:val="0"/>
              <w:keepLines w:val="0"/>
              <w:pageBreakBefore w:val="0"/>
              <w:widowControl w:val="0"/>
              <w:tabs>
                <w:tab w:val="left" w:pos="577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color w:val="000000"/>
          <w:sz w:val="21"/>
          <w:szCs w:val="21"/>
        </w:rPr>
      </w:pPr>
      <w:r>
        <w:rPr>
          <w:rFonts w:hint="eastAsia" w:ascii="宋体" w:hAnsi="宋体"/>
          <w:sz w:val="21"/>
          <w:szCs w:val="21"/>
        </w:rPr>
        <w:t>Q：</w:t>
      </w:r>
      <w:r>
        <w:rPr>
          <w:rFonts w:hint="eastAsia" w:ascii="宋体" w:hAnsi="宋体"/>
          <w:sz w:val="21"/>
          <w:szCs w:val="21"/>
          <w:lang w:eastAsia="zh-CN"/>
        </w:rPr>
        <w:t>办公家具</w:t>
      </w:r>
      <w:r>
        <w:rPr>
          <w:rFonts w:hint="eastAsia" w:ascii="宋体" w:hAnsi="宋体"/>
          <w:sz w:val="21"/>
          <w:szCs w:val="21"/>
        </w:rPr>
        <w:t>的生产及销售</w:t>
      </w:r>
    </w:p>
    <w:p>
      <w:pPr>
        <w:ind w:firstLine="210" w:firstLineChars="100"/>
        <w:rPr>
          <w:rFonts w:hint="eastAsia" w:ascii="宋体" w:hAnsi="宋体"/>
          <w:sz w:val="21"/>
          <w:szCs w:val="21"/>
        </w:rPr>
      </w:pPr>
      <w:r>
        <w:rPr>
          <w:rFonts w:hint="eastAsia" w:ascii="宋体" w:hAnsi="宋体"/>
          <w:sz w:val="21"/>
          <w:szCs w:val="21"/>
        </w:rPr>
        <w:t>E：</w:t>
      </w:r>
      <w:r>
        <w:rPr>
          <w:rFonts w:hint="eastAsia" w:ascii="宋体" w:hAnsi="宋体"/>
          <w:sz w:val="21"/>
          <w:szCs w:val="21"/>
          <w:lang w:eastAsia="zh-CN"/>
        </w:rPr>
        <w:t>办公家具</w:t>
      </w:r>
      <w:r>
        <w:rPr>
          <w:rFonts w:hint="eastAsia" w:ascii="宋体" w:hAnsi="宋体"/>
          <w:sz w:val="21"/>
          <w:szCs w:val="21"/>
        </w:rPr>
        <w:t>的生产及销售所涉及的环境管理活动</w:t>
      </w:r>
    </w:p>
    <w:p>
      <w:pPr>
        <w:spacing w:line="300" w:lineRule="auto"/>
        <w:ind w:firstLine="210" w:firstLineChars="100"/>
        <w:rPr>
          <w:rFonts w:hint="eastAsia" w:ascii="宋体" w:hAnsi="宋体"/>
          <w:b/>
          <w:color w:val="000000"/>
          <w:sz w:val="20"/>
          <w:szCs w:val="20"/>
        </w:rPr>
      </w:pPr>
      <w:r>
        <w:rPr>
          <w:rFonts w:hint="eastAsia" w:ascii="宋体" w:hAnsi="宋体"/>
          <w:sz w:val="21"/>
          <w:szCs w:val="21"/>
        </w:rPr>
        <w:t>O：</w:t>
      </w:r>
      <w:r>
        <w:rPr>
          <w:rFonts w:hint="eastAsia" w:ascii="宋体" w:hAnsi="宋体"/>
          <w:sz w:val="21"/>
          <w:szCs w:val="21"/>
          <w:lang w:eastAsia="zh-CN"/>
        </w:rPr>
        <w:t>办公家具</w:t>
      </w:r>
      <w:r>
        <w:rPr>
          <w:rFonts w:hint="eastAsia" w:ascii="宋体" w:hAnsi="宋体"/>
          <w:sz w:val="21"/>
          <w:szCs w:val="21"/>
        </w:rPr>
        <w:t>的生产及销售所涉及的职业健康安全管理活动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1837690</wp:posOffset>
            </wp:positionH>
            <wp:positionV relativeFrom="paragraph">
              <wp:posOffset>189230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4384" behindDoc="1" locked="0" layoutInCell="1" allowOverlap="1">
            <wp:simplePos x="0" y="0"/>
            <wp:positionH relativeFrom="column">
              <wp:posOffset>3021330</wp:posOffset>
            </wp:positionH>
            <wp:positionV relativeFrom="paragraph">
              <wp:posOffset>158750</wp:posOffset>
            </wp:positionV>
            <wp:extent cx="786765" cy="364490"/>
            <wp:effectExtent l="0" t="0" r="635" b="381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1840230</wp:posOffset>
            </wp:positionH>
            <wp:positionV relativeFrom="paragraph">
              <wp:posOffset>168275</wp:posOffset>
            </wp:positionV>
            <wp:extent cx="889000" cy="4826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889000" cy="482600"/>
                    </a:xfrm>
                    <a:prstGeom prst="rect">
                      <a:avLst/>
                    </a:prstGeom>
                    <a:noFill/>
                    <a:ln>
                      <a:noFill/>
                    </a:ln>
                  </pic:spPr>
                </pic:pic>
              </a:graphicData>
            </a:graphic>
          </wp:anchor>
        </w:drawing>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识别的外包过程不符</w:t>
            </w:r>
          </w:p>
        </w:tc>
        <w:tc>
          <w:tcPr>
            <w:tcW w:w="1688" w:type="dxa"/>
            <w:vAlign w:val="center"/>
          </w:tcPr>
          <w:p>
            <w:pPr>
              <w:pStyle w:val="4"/>
              <w:pBdr>
                <w:bottom w:val="none" w:color="auto" w:sz="0" w:space="0"/>
              </w:pBdr>
              <w:ind w:right="600"/>
              <w:jc w:val="both"/>
              <w:rPr>
                <w:rFonts w:hint="default" w:eastAsia="宋体"/>
                <w:color w:val="000000"/>
                <w:sz w:val="24"/>
                <w:szCs w:val="24"/>
                <w:lang w:val="en-US" w:eastAsia="zh-CN"/>
              </w:rPr>
            </w:pPr>
            <w:r>
              <w:rPr>
                <w:rFonts w:hint="eastAsia"/>
                <w:color w:val="000000"/>
                <w:sz w:val="24"/>
                <w:szCs w:val="24"/>
                <w:lang w:val="en-US" w:eastAsia="zh-CN"/>
              </w:rPr>
              <w:t>Q8.1/8.4</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识别的流程图不符</w:t>
            </w:r>
          </w:p>
        </w:tc>
        <w:tc>
          <w:tcPr>
            <w:tcW w:w="1688" w:type="dxa"/>
            <w:vAlign w:val="center"/>
          </w:tcPr>
          <w:p>
            <w:pPr>
              <w:pStyle w:val="4"/>
              <w:pBdr>
                <w:bottom w:val="none" w:color="auto" w:sz="0" w:space="0"/>
              </w:pBdr>
              <w:ind w:right="600"/>
              <w:jc w:val="both"/>
              <w:rPr>
                <w:rFonts w:hint="default" w:eastAsia="宋体"/>
                <w:color w:val="000000"/>
                <w:sz w:val="24"/>
                <w:szCs w:val="24"/>
                <w:lang w:val="en-US" w:eastAsia="zh-CN"/>
              </w:rPr>
            </w:pPr>
            <w:r>
              <w:rPr>
                <w:rFonts w:hint="eastAsia"/>
                <w:color w:val="000000"/>
                <w:sz w:val="24"/>
                <w:szCs w:val="24"/>
                <w:lang w:val="en-US" w:eastAsia="zh-CN"/>
              </w:rPr>
              <w:t>Q8.1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3</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识别的确认过程不符</w:t>
            </w:r>
          </w:p>
        </w:tc>
        <w:tc>
          <w:tcPr>
            <w:tcW w:w="1688" w:type="dxa"/>
            <w:vAlign w:val="center"/>
          </w:tcPr>
          <w:p>
            <w:pPr>
              <w:pStyle w:val="4"/>
              <w:pBdr>
                <w:bottom w:val="none" w:color="auto" w:sz="0" w:space="0"/>
              </w:pBdr>
              <w:ind w:right="600"/>
              <w:jc w:val="both"/>
              <w:rPr>
                <w:rFonts w:hint="default" w:eastAsia="宋体"/>
                <w:color w:val="000000"/>
                <w:sz w:val="24"/>
                <w:szCs w:val="24"/>
                <w:lang w:val="en-US" w:eastAsia="zh-CN"/>
              </w:rPr>
            </w:pPr>
            <w:r>
              <w:rPr>
                <w:rFonts w:hint="eastAsia"/>
                <w:color w:val="000000"/>
                <w:sz w:val="24"/>
                <w:szCs w:val="24"/>
                <w:lang w:val="en-US" w:eastAsia="zh-CN"/>
              </w:rPr>
              <w:t>Q8.5.1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w: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w: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二阶段前提前</w:t>
            </w:r>
            <w:r>
              <w:rPr>
                <w:rFonts w:hint="eastAsia"/>
                <w:b/>
                <w:color w:val="000000"/>
                <w:szCs w:val="21"/>
              </w:rPr>
              <w:t>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ascii="宋体" w:hAnsi="宋体"/>
                <w:kern w:val="2"/>
                <w:sz w:val="24"/>
                <w:lang w:val="en-US" w:eastAsia="zh-CN" w:bidi="ar-SA"/>
              </w:rPr>
              <w:drawing>
                <wp:anchor distT="0" distB="0" distL="114300" distR="114300" simplePos="0" relativeHeight="251665408" behindDoc="0" locked="0" layoutInCell="1" allowOverlap="1">
                  <wp:simplePos x="0" y="0"/>
                  <wp:positionH relativeFrom="column">
                    <wp:posOffset>559435</wp:posOffset>
                  </wp:positionH>
                  <wp:positionV relativeFrom="paragraph">
                    <wp:posOffset>144145</wp:posOffset>
                  </wp:positionV>
                  <wp:extent cx="1049020" cy="50482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9"/>
                          <a:stretch>
                            <a:fillRect/>
                          </a:stretch>
                        </pic:blipFill>
                        <pic:spPr>
                          <a:xfrm>
                            <a:off x="0" y="0"/>
                            <a:ext cx="1049020" cy="504825"/>
                          </a:xfrm>
                          <a:prstGeom prst="rect">
                            <a:avLst/>
                          </a:prstGeom>
                          <a:noFill/>
                          <a:ln>
                            <a:noFill/>
                          </a:ln>
                        </pic:spPr>
                      </pic:pic>
                    </a:graphicData>
                  </a:graphic>
                </wp:anchor>
              </w:drawing>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w:t>
            </w:r>
            <w:r>
              <w:drawing>
                <wp:anchor distT="0" distB="0" distL="114300" distR="114300" simplePos="0" relativeHeight="251660288" behindDoc="0" locked="0" layoutInCell="1" allowOverlap="1">
                  <wp:simplePos x="0" y="0"/>
                  <wp:positionH relativeFrom="column">
                    <wp:posOffset>981710</wp:posOffset>
                  </wp:positionH>
                  <wp:positionV relativeFrom="paragraph">
                    <wp:posOffset>-200660</wp:posOffset>
                  </wp:positionV>
                  <wp:extent cx="590550" cy="342900"/>
                  <wp:effectExtent l="0" t="0" r="635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90550" cy="342900"/>
                          </a:xfrm>
                          <a:prstGeom prst="rect">
                            <a:avLst/>
                          </a:prstGeom>
                          <a:noFill/>
                          <a:ln>
                            <a:noFill/>
                          </a:ln>
                        </pic:spPr>
                      </pic:pic>
                    </a:graphicData>
                  </a:graphic>
                </wp:anchor>
              </w:drawing>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ascii="宋体" w:hAnsi="宋体"/>
                <w:kern w:val="2"/>
                <w:sz w:val="24"/>
                <w:lang w:val="en-US" w:eastAsia="zh-CN" w:bidi="ar-SA"/>
              </w:rPr>
              <w:drawing>
                <wp:anchor distT="0" distB="0" distL="114300" distR="114300" simplePos="0" relativeHeight="251673600" behindDoc="0" locked="0" layoutInCell="1" allowOverlap="1">
                  <wp:simplePos x="0" y="0"/>
                  <wp:positionH relativeFrom="column">
                    <wp:posOffset>480695</wp:posOffset>
                  </wp:positionH>
                  <wp:positionV relativeFrom="paragraph">
                    <wp:posOffset>192405</wp:posOffset>
                  </wp:positionV>
                  <wp:extent cx="1049020" cy="504825"/>
                  <wp:effectExtent l="0" t="0" r="0" b="0"/>
                  <wp:wrapNone/>
                  <wp:docPr id="7" name="图片 7"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904151347"/>
                          <pic:cNvPicPr>
                            <a:picLocks noChangeAspect="1"/>
                          </pic:cNvPicPr>
                        </pic:nvPicPr>
                        <pic:blipFill>
                          <a:blip r:embed="rId9"/>
                          <a:stretch>
                            <a:fillRect/>
                          </a:stretch>
                        </pic:blipFill>
                        <pic:spPr>
                          <a:xfrm>
                            <a:off x="0" y="0"/>
                            <a:ext cx="1049020" cy="50482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23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423B4B"/>
    <w:rsid w:val="3EFA15AC"/>
    <w:rsid w:val="41611347"/>
    <w:rsid w:val="58D84155"/>
    <w:rsid w:val="6321419F"/>
    <w:rsid w:val="769C7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locked/>
    <w:uiPriority w:val="22"/>
    <w:rPr>
      <w:b/>
      <w:bCs/>
    </w:r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locked/>
    <w:uiPriority w:val="99"/>
    <w:rPr>
      <w:rFonts w:ascii="Calibri" w:hAnsi="Calibri" w:eastAsia="宋体" w:cs="Times New Roman"/>
      <w:sz w:val="18"/>
      <w:szCs w:val="18"/>
    </w:rPr>
  </w:style>
  <w:style w:type="character" w:customStyle="1" w:styleId="13">
    <w:name w:val="副标题 字符"/>
    <w:link w:val="5"/>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10</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2020-04-30T07:22:36Z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