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郭晓榜</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rPr>
              <w:t>Q</w:t>
            </w:r>
            <w:r>
              <w:rPr>
                <w:rFonts w:hint="eastAsia"/>
                <w:sz w:val="21"/>
                <w:szCs w:val="21"/>
                <w:lang w:val="en-US" w:eastAsia="zh-CN"/>
              </w:rPr>
              <w:t>E</w:t>
            </w:r>
            <w:r>
              <w:rPr>
                <w:rFonts w:hint="eastAsia"/>
                <w:sz w:val="21"/>
                <w:szCs w:val="21"/>
              </w:rPr>
              <w:t>9.2/9.3</w:t>
            </w:r>
            <w:r>
              <w:rPr>
                <w:rFonts w:hint="eastAsia"/>
                <w:sz w:val="21"/>
                <w:szCs w:val="21"/>
                <w:lang w:val="en-US" w:eastAsia="zh-CN"/>
              </w:rPr>
              <w:t xml:space="preserve">；O </w:t>
            </w:r>
            <w:r>
              <w:rPr>
                <w:rFonts w:hint="eastAsia"/>
                <w:sz w:val="21"/>
                <w:szCs w:val="21"/>
              </w:rPr>
              <w:t>4.1/4.3/4.4/5.2/6.2/9.2/9.3/7.1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O</w:t>
            </w:r>
          </w:p>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default" w:ascii="Times New Roman" w:hAnsi="Times New Roman" w:eastAsia="宋体" w:cs="Times New Roman"/>
                <w:sz w:val="21"/>
                <w:szCs w:val="21"/>
                <w:lang w:val="en-US" w:eastAsia="zh-CN"/>
              </w:rPr>
            </w:pPr>
            <w:r>
              <w:rPr>
                <w:rFonts w:hint="eastAsia"/>
                <w:sz w:val="21"/>
                <w:szCs w:val="21"/>
              </w:rPr>
              <w:t>总经理</w:t>
            </w:r>
            <w:r>
              <w:rPr>
                <w:rFonts w:hint="eastAsia"/>
                <w:sz w:val="21"/>
                <w:szCs w:val="21"/>
                <w:lang w:val="en-US" w:eastAsia="zh-CN"/>
              </w:rPr>
              <w:t>：郭晓榜，</w:t>
            </w:r>
            <w:r>
              <w:rPr>
                <w:rFonts w:hint="eastAsia"/>
                <w:sz w:val="21"/>
                <w:szCs w:val="21"/>
              </w:rPr>
              <w:t>管理</w:t>
            </w:r>
            <w:r>
              <w:rPr>
                <w:rFonts w:hint="default" w:ascii="Times New Roman" w:hAnsi="Times New Roman" w:cs="Times New Roman"/>
                <w:sz w:val="21"/>
                <w:szCs w:val="21"/>
              </w:rPr>
              <w:t>者代表：</w:t>
            </w:r>
            <w:r>
              <w:rPr>
                <w:rFonts w:hint="default" w:ascii="Times New Roman" w:hAnsi="Times New Roman" w:cs="Times New Roman"/>
                <w:sz w:val="21"/>
                <w:szCs w:val="21"/>
                <w:lang w:eastAsia="zh-CN"/>
              </w:rPr>
              <w:t>苗丽</w:t>
            </w:r>
          </w:p>
          <w:p>
            <w:pPr>
              <w:rPr>
                <w:rFonts w:hint="default" w:ascii="Times New Roman" w:hAnsi="Times New Roman" w:cs="Times New Roman"/>
                <w:sz w:val="21"/>
                <w:szCs w:val="21"/>
                <w:lang w:eastAsia="zh-CN"/>
              </w:rPr>
            </w:pPr>
            <w:r>
              <w:rPr>
                <w:rFonts w:hint="default" w:ascii="Times New Roman" w:hAnsi="Times New Roman" w:cs="Times New Roman"/>
              </w:rPr>
              <w:t>■</w:t>
            </w:r>
            <w:r>
              <w:rPr>
                <w:rFonts w:hint="default" w:ascii="Times New Roman" w:hAnsi="Times New Roman" w:eastAsia="宋体" w:cs="Times New Roman"/>
                <w:sz w:val="21"/>
                <w:szCs w:val="21"/>
              </w:rPr>
              <w:t>受审核方</w:t>
            </w:r>
            <w:r>
              <w:rPr>
                <w:rFonts w:hint="default" w:ascii="Times New Roman" w:hAnsi="Times New Roman" w:eastAsia="宋体" w:cs="Times New Roman"/>
                <w:sz w:val="21"/>
                <w:szCs w:val="21"/>
                <w:lang w:val="en-US" w:eastAsia="zh-CN"/>
              </w:rPr>
              <w:t>石家庄市晟邦家具有限公司成立于2015</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日，注册资本</w:t>
            </w:r>
            <w:r>
              <w:rPr>
                <w:rFonts w:hint="default" w:ascii="Times New Roman" w:hAnsi="Times New Roman" w:eastAsia="宋体" w:cs="Times New Roman"/>
                <w:sz w:val="21"/>
                <w:szCs w:val="21"/>
                <w:lang w:val="en-US" w:eastAsia="zh-CN"/>
              </w:rPr>
              <w:t>518</w:t>
            </w:r>
            <w:r>
              <w:rPr>
                <w:rFonts w:hint="default" w:ascii="Times New Roman" w:hAnsi="Times New Roman" w:eastAsia="宋体" w:cs="Times New Roman"/>
                <w:sz w:val="21"/>
                <w:szCs w:val="21"/>
              </w:rPr>
              <w:t>万元，地址位于河北省石家庄市行唐县经济开发区科技大街路北，</w:t>
            </w:r>
            <w:r>
              <w:rPr>
                <w:rFonts w:hint="default" w:ascii="Times New Roman" w:hAnsi="Times New Roman" w:eastAsia="宋体" w:cs="Times New Roman"/>
                <w:sz w:val="21"/>
                <w:szCs w:val="21"/>
                <w:lang w:val="en-US" w:eastAsia="zh-CN"/>
              </w:rPr>
              <w:t>生产面积约1900平米</w:t>
            </w:r>
            <w:r>
              <w:rPr>
                <w:rFonts w:hint="default" w:ascii="Times New Roman" w:hAnsi="Times New Roman" w:eastAsia="宋体" w:cs="Times New Roman"/>
                <w:sz w:val="21"/>
                <w:szCs w:val="21"/>
              </w:rPr>
              <w:t>，主要从事办公家具的生产和销售</w:t>
            </w:r>
            <w:r>
              <w:rPr>
                <w:rFonts w:hint="default" w:ascii="Times New Roman" w:hAnsi="Times New Roman" w:cs="Times New Roman"/>
                <w:sz w:val="21"/>
                <w:szCs w:val="21"/>
                <w:lang w:eastAsia="zh-CN"/>
              </w:rPr>
              <w:t>。</w:t>
            </w:r>
          </w:p>
          <w:p>
            <w:pPr>
              <w:rPr>
                <w:rFonts w:hint="eastAsia"/>
                <w:color w:val="auto"/>
                <w:lang w:val="en-GB"/>
              </w:rPr>
            </w:pPr>
            <w:r>
              <w:rPr>
                <w:rFonts w:hint="default" w:ascii="Times New Roman" w:hAnsi="Times New Roman" w:cs="Times New Roman"/>
              </w:rPr>
              <w:t>■根据企业发展及经营管理的需求，公司</w:t>
            </w:r>
            <w:r>
              <w:rPr>
                <w:rFonts w:hint="eastAsia"/>
              </w:rPr>
              <w:t>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Times New Roman" w:hAnsi="Times New Roman" w:cs="Times New Roman"/>
                <w:szCs w:val="22"/>
                <w:lang w:val="en-US" w:eastAsia="zh-CN"/>
              </w:rPr>
            </w:pPr>
            <w:r>
              <w:rPr>
                <w:rFonts w:hint="eastAsia" w:ascii="Times New Roman" w:hAnsi="Times New Roman" w:cs="Times New Roman"/>
                <w:szCs w:val="22"/>
              </w:rPr>
              <w:t>O：</w:t>
            </w:r>
            <w:r>
              <w:rPr>
                <w:rFonts w:hint="eastAsia" w:cs="Times New Roman"/>
                <w:szCs w:val="22"/>
                <w:lang w:val="en-US" w:eastAsia="zh-CN"/>
              </w:rPr>
              <w:t>办公家具</w:t>
            </w:r>
            <w:r>
              <w:rPr>
                <w:rFonts w:hint="eastAsia" w:ascii="Times New Roman" w:hAnsi="Times New Roman" w:cs="Times New Roman"/>
                <w:szCs w:val="22"/>
                <w:lang w:val="en-US" w:eastAsia="zh-CN"/>
              </w:rPr>
              <w:t>的生产和销售及其所涉及的职业健康安全管理活动</w:t>
            </w:r>
          </w:p>
          <w:p>
            <w:pPr>
              <w:rPr>
                <w:rFonts w:hint="eastAsia" w:eastAsia="宋体"/>
                <w:lang w:eastAsia="zh-CN"/>
              </w:rPr>
            </w:pPr>
            <w:r>
              <w:t>■</w:t>
            </w:r>
            <w:r>
              <w:rPr>
                <w:rFonts w:hint="eastAsia"/>
                <w:u w:val="none"/>
              </w:rPr>
              <w:t>外包过程：</w:t>
            </w:r>
            <w:r>
              <w:rPr>
                <w:rFonts w:hint="eastAsia"/>
                <w:u w:val="none"/>
                <w:lang w:val="en-US" w:eastAsia="zh-CN"/>
              </w:rPr>
              <w:t>喷漆</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lang w:val="en-US" w:eastAsia="zh-CN"/>
              </w:rPr>
            </w:pPr>
            <w:r>
              <w:rPr>
                <w:rFonts w:hint="eastAsia"/>
                <w:lang w:val="en-US" w:eastAsia="zh-CN"/>
              </w:rPr>
              <w:t>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管理手册明确了公司的管理方针：顾客满意，质量第一。遵守法规，预防污染。遵守法规，安全第一</w:t>
            </w:r>
            <w:r>
              <w:rPr>
                <w:rFonts w:hint="eastAsia" w:ascii="Times New Roman" w:hAnsi="Times New Roman" w:cs="宋体"/>
                <w:szCs w:val="22"/>
                <w:lang w:eastAsia="zh-CN"/>
              </w:rPr>
              <w:t>。</w:t>
            </w:r>
            <w:r>
              <w:rPr>
                <w:rFonts w:hint="eastAsia" w:ascii="Times New Roman" w:hAnsi="Times New Roman" w:cs="宋体"/>
                <w:szCs w:val="22"/>
              </w:rPr>
              <w:t>总经理证实，与企业的宗旨一直，随管理手册的发布宣传贯彻。</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公司目标：1、顾客满意度≥85分；2、成品一次交验合格率≥</w:t>
            </w:r>
            <w:r>
              <w:rPr>
                <w:rFonts w:hint="eastAsia" w:ascii="Times New Roman" w:hAnsi="Times New Roman" w:cs="宋体"/>
                <w:szCs w:val="22"/>
                <w:lang w:val="en-US" w:eastAsia="zh-CN"/>
              </w:rPr>
              <w:t>98</w:t>
            </w:r>
            <w:r>
              <w:rPr>
                <w:rFonts w:hint="eastAsia" w:ascii="Times New Roman" w:hAnsi="Times New Roman" w:cs="宋体"/>
                <w:szCs w:val="22"/>
              </w:rPr>
              <w:t>%</w:t>
            </w:r>
            <w:r>
              <w:rPr>
                <w:rFonts w:hint="eastAsia" w:ascii="Times New Roman" w:hAnsi="Times New Roman" w:cs="宋体"/>
                <w:szCs w:val="22"/>
                <w:lang w:val="en-US" w:eastAsia="zh-CN"/>
              </w:rPr>
              <w:t>3</w:t>
            </w:r>
            <w:r>
              <w:rPr>
                <w:rFonts w:hint="eastAsia" w:ascii="Times New Roman" w:hAnsi="Times New Roman" w:cs="宋体"/>
                <w:szCs w:val="22"/>
              </w:rPr>
              <w:t>、</w:t>
            </w:r>
            <w:r>
              <w:rPr>
                <w:rFonts w:hint="eastAsia" w:ascii="Times New Roman" w:hAnsi="Times New Roman" w:cs="宋体"/>
                <w:szCs w:val="22"/>
                <w:lang w:eastAsia="zh-CN"/>
              </w:rPr>
              <w:t>及时交付</w:t>
            </w:r>
            <w:r>
              <w:rPr>
                <w:rFonts w:hint="eastAsia" w:ascii="Times New Roman" w:hAnsi="Times New Roman" w:cs="宋体"/>
                <w:szCs w:val="22"/>
              </w:rPr>
              <w:t>率</w:t>
            </w:r>
            <w:r>
              <w:rPr>
                <w:rFonts w:hint="eastAsia" w:ascii="Times New Roman" w:hAnsi="Times New Roman" w:cs="宋体"/>
                <w:szCs w:val="22"/>
                <w:lang w:val="en-US" w:eastAsia="zh-CN"/>
              </w:rPr>
              <w:t>100</w:t>
            </w:r>
            <w:r>
              <w:rPr>
                <w:rFonts w:hint="eastAsia" w:ascii="Times New Roman" w:hAnsi="Times New Roman" w:cs="宋体"/>
                <w:szCs w:val="22"/>
              </w:rPr>
              <w:t>%</w:t>
            </w:r>
            <w:r>
              <w:rPr>
                <w:rFonts w:hint="eastAsia" w:ascii="Times New Roman" w:hAnsi="Times New Roman" w:cs="宋体"/>
                <w:szCs w:val="22"/>
                <w:lang w:eastAsia="zh-CN"/>
              </w:rPr>
              <w:t>；</w:t>
            </w:r>
            <w:r>
              <w:rPr>
                <w:rFonts w:hint="eastAsia" w:ascii="Times New Roman" w:hAnsi="Times New Roman" w:cs="宋体"/>
                <w:szCs w:val="22"/>
                <w:lang w:val="en-US" w:eastAsia="zh-CN"/>
              </w:rPr>
              <w:t>4</w:t>
            </w:r>
            <w:r>
              <w:rPr>
                <w:rFonts w:hint="eastAsia" w:ascii="Times New Roman" w:hAnsi="Times New Roman" w:cs="宋体"/>
                <w:szCs w:val="22"/>
              </w:rPr>
              <w:t>、火灾事故为0；</w:t>
            </w:r>
            <w:r>
              <w:rPr>
                <w:rFonts w:hint="eastAsia" w:ascii="Times New Roman" w:hAnsi="Times New Roman" w:cs="宋体"/>
                <w:szCs w:val="22"/>
                <w:lang w:val="en-US" w:eastAsia="zh-CN"/>
              </w:rPr>
              <w:t>5</w:t>
            </w:r>
            <w:r>
              <w:rPr>
                <w:rFonts w:hint="eastAsia" w:ascii="Times New Roman" w:hAnsi="Times New Roman" w:cs="宋体"/>
                <w:szCs w:val="22"/>
              </w:rPr>
              <w:t>、固废分类回收率100%；</w:t>
            </w:r>
            <w:r>
              <w:rPr>
                <w:rFonts w:hint="eastAsia" w:ascii="Times New Roman" w:hAnsi="Times New Roman" w:cs="宋体"/>
                <w:szCs w:val="22"/>
                <w:lang w:val="en-US" w:eastAsia="zh-CN"/>
              </w:rPr>
              <w:t>6</w:t>
            </w:r>
            <w:r>
              <w:rPr>
                <w:rFonts w:hint="eastAsia" w:ascii="Times New Roman" w:hAnsi="Times New Roman" w:cs="宋体"/>
                <w:szCs w:val="22"/>
              </w:rPr>
              <w:t>、噪声、废气达标排放</w:t>
            </w:r>
            <w:r>
              <w:rPr>
                <w:rFonts w:hint="eastAsia" w:ascii="Times New Roman" w:hAnsi="Times New Roman" w:cs="宋体"/>
                <w:szCs w:val="22"/>
                <w:lang w:eastAsia="zh-CN"/>
              </w:rPr>
              <w:t>；</w:t>
            </w:r>
            <w:r>
              <w:rPr>
                <w:rFonts w:hint="eastAsia" w:ascii="Times New Roman" w:hAnsi="Times New Roman" w:cs="宋体"/>
                <w:szCs w:val="22"/>
                <w:lang w:val="en-US" w:eastAsia="zh-CN"/>
              </w:rPr>
              <w:t>7</w:t>
            </w:r>
            <w:r>
              <w:rPr>
                <w:rFonts w:hint="eastAsia" w:ascii="Times New Roman" w:hAnsi="Times New Roman" w:cs="宋体"/>
                <w:szCs w:val="22"/>
              </w:rPr>
              <w:t>、人身伤害事故为0</w:t>
            </w:r>
            <w:r>
              <w:rPr>
                <w:rFonts w:hint="eastAsia" w:ascii="Times New Roman" w:hAnsi="Times New Roman" w:cs="宋体"/>
                <w:szCs w:val="22"/>
                <w:lang w:eastAsia="zh-CN"/>
              </w:rPr>
              <w:t>。</w:t>
            </w:r>
            <w:r>
              <w:rPr>
                <w:rFonts w:hint="eastAsia" w:ascii="Times New Roman" w:hAnsi="Times New Roman" w:cs="宋体"/>
                <w:szCs w:val="22"/>
              </w:rPr>
              <w:t>基本符合标准要求。在方针框架下展开，并分解到各职能部门。</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rPr>
              <w:t>内审、管理评审策划和实施</w:t>
            </w:r>
          </w:p>
        </w:tc>
        <w:tc>
          <w:tcPr>
            <w:tcW w:w="1009" w:type="dxa"/>
            <w:vAlign w:val="top"/>
          </w:tcPr>
          <w:p>
            <w:pPr>
              <w:rPr>
                <w:rFonts w:hint="eastAsia"/>
                <w:lang w:val="en-US" w:eastAsia="zh-CN"/>
              </w:rPr>
            </w:pPr>
            <w:r>
              <w:rPr>
                <w:rFonts w:hint="eastAsia"/>
                <w:lang w:val="en-US" w:eastAsia="zh-CN"/>
              </w:rPr>
              <w:t>QEO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1146" w:type="dxa"/>
            <w:vAlign w:val="top"/>
          </w:tcPr>
          <w:p>
            <w:pPr>
              <w:rPr>
                <w:rFonts w:hint="eastAsia"/>
                <w:szCs w:val="22"/>
                <w:lang w:val="en-US" w:eastAsia="zh-CN"/>
              </w:rPr>
            </w:pPr>
            <w:r>
              <w:rPr>
                <w:rFonts w:hint="eastAsia"/>
              </w:rPr>
              <w:t>2</w:t>
            </w:r>
            <w:r>
              <w:rPr>
                <w:rFonts w:hint="eastAsia"/>
                <w:lang w:val="en-US" w:eastAsia="zh-CN"/>
              </w:rPr>
              <w:t>020</w:t>
            </w:r>
            <w:r>
              <w:rPr>
                <w:rFonts w:hint="eastAsia"/>
              </w:rPr>
              <w:t>年</w:t>
            </w:r>
            <w:r>
              <w:rPr>
                <w:rFonts w:hint="eastAsia"/>
                <w:lang w:val="en-US" w:eastAsia="zh-CN"/>
              </w:rPr>
              <w:t>1</w:t>
            </w:r>
            <w:r>
              <w:rPr>
                <w:rFonts w:hint="eastAsia"/>
                <w:szCs w:val="22"/>
                <w:lang w:val="en-US" w:eastAsia="zh-CN"/>
              </w:rPr>
              <w:t>月20-21日进行内部审核，提供内部审核计划、内审检查表、不合格报告、内部质量管理体系审核报告等，基本符合要求。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日进行管理评审，由总经理主持会议，有管理评审计划、管理评审输入资料、管理评审报告等，内容基本可信，有效。</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rPr>
              <w:t>遵守法律法规的情况事故及投诉情况</w:t>
            </w: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生产销售</w:t>
            </w:r>
            <w:r>
              <w:rPr>
                <w:rFonts w:hint="eastAsia"/>
                <w:lang w:eastAsia="zh-CN"/>
              </w:rPr>
              <w:t>各</w:t>
            </w:r>
            <w:r>
              <w:t>过程中能够遵守相关的法律法规和其它要求，提供合规性评价</w:t>
            </w:r>
            <w:r>
              <w:rPr>
                <w:rFonts w:hint="eastAsia"/>
                <w:lang w:eastAsia="zh-CN"/>
              </w:rPr>
              <w:t>报告</w:t>
            </w:r>
            <w:r>
              <w:t>，评价时间：20</w:t>
            </w:r>
            <w:r>
              <w:rPr>
                <w:rFonts w:hint="eastAsia"/>
                <w:lang w:val="en-US" w:eastAsia="zh-CN"/>
              </w:rPr>
              <w:t>19.12.22</w:t>
            </w:r>
            <w:r>
              <w:t>，符合要求。体系运行以来，未发生</w:t>
            </w:r>
            <w:r>
              <w:rPr>
                <w:rFonts w:hint="eastAsia"/>
              </w:rPr>
              <w:t>质量环境</w:t>
            </w:r>
            <w:r>
              <w:rPr>
                <w:rFonts w:hint="eastAsia"/>
                <w:lang w:eastAsia="zh-CN"/>
              </w:rPr>
              <w:t>安全</w:t>
            </w:r>
            <w:r>
              <w:t>事故，无重大投诉和行政处罚</w:t>
            </w:r>
            <w:r>
              <w:rPr>
                <w:rFonts w:hint="eastAsia"/>
              </w:rPr>
              <w:t>情况</w:t>
            </w:r>
            <w:r>
              <w:rPr>
                <w:rFonts w:hint="eastAsia"/>
                <w:lang w:val="en-US"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626" w:type="dxa"/>
            <w:vAlign w:val="top"/>
          </w:tcPr>
          <w:p>
            <w:pPr>
              <w:rPr>
                <w:rFonts w:hint="eastAsia"/>
              </w:rPr>
            </w:pPr>
            <w:r>
              <w:rPr>
                <w:rFonts w:hint="eastAsia"/>
              </w:rPr>
              <w:t>申请资料信息的核实确认</w:t>
            </w:r>
          </w:p>
          <w:p>
            <w:pPr>
              <w:rPr>
                <w:rFonts w:hint="eastAsia"/>
              </w:rPr>
            </w:pPr>
          </w:p>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1009" w:type="dxa"/>
            <w:vAlign w:val="top"/>
          </w:tcPr>
          <w:p>
            <w:pPr>
              <w:rPr>
                <w:rFonts w:hint="eastAsia" w:ascii="Times New Roman" w:hAnsi="Times New Roman" w:eastAsia="宋体" w:cs="Times New Roman"/>
                <w:kern w:val="2"/>
                <w:sz w:val="21"/>
                <w:lang w:val="en-US" w:eastAsia="zh-CN" w:bidi="ar-SA"/>
              </w:rPr>
            </w:pPr>
          </w:p>
        </w:tc>
        <w:tc>
          <w:tcPr>
            <w:tcW w:w="11146" w:type="dxa"/>
            <w:vAlign w:val="top"/>
          </w:tcPr>
          <w:p>
            <w:pPr>
              <w:rPr>
                <w:rFonts w:ascii="Times New Roman" w:hAnsi="Times New Roman" w:cs="Times New Roman"/>
                <w:szCs w:val="22"/>
              </w:rPr>
            </w:pPr>
            <w:r>
              <w:rPr>
                <w:rFonts w:hint="eastAsia" w:ascii="Times New Roman" w:hAnsi="Times New Roman" w:cs="Times New Roman"/>
                <w:szCs w:val="22"/>
              </w:rPr>
              <w:t>提供</w:t>
            </w:r>
            <w:r>
              <w:rPr>
                <w:rFonts w:hint="eastAsia"/>
              </w:rPr>
              <w:t>营业执照、</w:t>
            </w:r>
            <w:r>
              <w:rPr>
                <w:rFonts w:hint="eastAsia"/>
                <w:lang w:eastAsia="zh-CN"/>
              </w:rPr>
              <w:t>租赁厂营业执照</w:t>
            </w:r>
            <w:r>
              <w:rPr>
                <w:rFonts w:hint="eastAsia"/>
                <w:lang w:val="en-US" w:eastAsia="zh-CN"/>
              </w:rPr>
              <w:t>、厂房租赁合同、建设项目环境影响报告书、竣工验收报告、环境影响报告书批复、三废检测报告、排</w:t>
            </w:r>
            <w:r>
              <w:rPr>
                <w:rFonts w:hint="eastAsia"/>
                <w:lang w:eastAsia="zh-CN"/>
              </w:rPr>
              <w:t>污许可证</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p>
          <w:p>
            <w:pPr>
              <w:rPr>
                <w:rFonts w:hint="eastAsia"/>
              </w:rPr>
            </w:pPr>
          </w:p>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4</w:t>
            </w:r>
            <w:r>
              <w:rPr>
                <w:rFonts w:hint="eastAsia"/>
              </w:rPr>
              <w:t>月</w:t>
            </w:r>
            <w:r>
              <w:rPr>
                <w:rFonts w:hint="eastAsia"/>
                <w:lang w:val="en-US" w:eastAsia="zh-CN"/>
              </w:rPr>
              <w:t>24-25</w:t>
            </w:r>
            <w:r>
              <w:rPr>
                <w:rFonts w:hint="eastAsia"/>
              </w:rPr>
              <w:t>日</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cs="宋体"/>
                <w:sz w:val="24"/>
                <w:szCs w:val="24"/>
                <w:lang w:val="en-US" w:eastAsia="zh-CN"/>
              </w:rPr>
              <w:t>苗丽</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lang w:val="en-US" w:eastAsia="zh-CN"/>
              </w:rPr>
              <w:t>Q</w:t>
            </w:r>
            <w:r>
              <w:rPr>
                <w:rFonts w:hint="eastAsia"/>
                <w:sz w:val="21"/>
                <w:szCs w:val="21"/>
              </w:rPr>
              <w:t>7.1.6</w:t>
            </w:r>
            <w:r>
              <w:rPr>
                <w:rFonts w:hint="eastAsia"/>
                <w:sz w:val="21"/>
                <w:szCs w:val="21"/>
                <w:lang w:eastAsia="zh-CN"/>
              </w:rPr>
              <w:t>；</w:t>
            </w:r>
            <w:r>
              <w:rPr>
                <w:rFonts w:hint="eastAsia"/>
                <w:sz w:val="21"/>
                <w:szCs w:val="21"/>
                <w:lang w:val="en-US" w:eastAsia="zh-CN"/>
              </w:rPr>
              <w:t>E6.1.3；O 6.1.2/6.1.3/6.2.2/7.5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组织的知识</w:t>
            </w:r>
          </w:p>
          <w:p>
            <w:pPr>
              <w:rPr>
                <w:rFonts w:hint="eastAsia"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合规义务</w:t>
            </w:r>
          </w:p>
          <w:p>
            <w:pPr>
              <w:rPr>
                <w:rFonts w:hint="default" w:ascii="Times New Roman" w:hAnsi="Times New Roman" w:cs="Times New Roman"/>
                <w:kern w:val="2"/>
                <w:sz w:val="21"/>
                <w:lang w:val="en-US" w:eastAsia="zh-CN" w:bidi="ar-SA"/>
              </w:rPr>
            </w:pPr>
            <w:r>
              <w:rPr>
                <w:rFonts w:hint="eastAsia" w:ascii="Times New Roman" w:hAnsi="Times New Roman" w:cs="Times New Roman"/>
                <w:kern w:val="2"/>
                <w:sz w:val="21"/>
                <w:lang w:val="en-US" w:eastAsia="zh-CN" w:bidi="ar-SA"/>
              </w:rPr>
              <w:t>法律法规要求</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7.1.6</w:t>
            </w:r>
          </w:p>
          <w:p>
            <w:pPr>
              <w:rPr>
                <w:rFonts w:hint="eastAsia"/>
                <w:sz w:val="21"/>
                <w:szCs w:val="21"/>
                <w:lang w:val="en-US" w:eastAsia="zh-CN"/>
              </w:rPr>
            </w:pPr>
            <w:r>
              <w:rPr>
                <w:rFonts w:hint="eastAsia"/>
                <w:sz w:val="21"/>
                <w:szCs w:val="21"/>
                <w:lang w:val="en-US" w:eastAsia="zh-CN"/>
              </w:rPr>
              <w:t>EO6.1.3</w:t>
            </w:r>
          </w:p>
          <w:p>
            <w:pPr>
              <w:rPr>
                <w:rFonts w:hint="default" w:eastAsia="宋体"/>
                <w:sz w:val="21"/>
                <w:szCs w:val="21"/>
                <w:lang w:val="en-US" w:eastAsia="zh-CN"/>
              </w:rPr>
            </w:pPr>
            <w:r>
              <w:rPr>
                <w:rFonts w:hint="eastAsia"/>
                <w:sz w:val="21"/>
                <w:szCs w:val="21"/>
                <w:lang w:val="en-US" w:eastAsia="zh-CN"/>
              </w:rPr>
              <w:t>O7.5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w:t>
            </w:r>
            <w:r>
              <w:rPr>
                <w:rFonts w:hint="eastAsia" w:cs="Times New Roman"/>
                <w:color w:val="auto"/>
                <w:szCs w:val="22"/>
                <w:highlight w:val="none"/>
                <w:lang w:val="en-US" w:eastAsia="zh-CN"/>
              </w:rPr>
              <w:t>SB/</w:t>
            </w:r>
            <w:r>
              <w:rPr>
                <w:rFonts w:hint="eastAsia" w:ascii="Times New Roman" w:hAnsi="Times New Roman" w:cs="Times New Roman"/>
                <w:color w:val="auto"/>
                <w:szCs w:val="22"/>
                <w:highlight w:val="none"/>
              </w:rPr>
              <w:t>QES</w:t>
            </w:r>
            <w:r>
              <w:rPr>
                <w:rFonts w:hint="eastAsia" w:cs="Times New Roman"/>
                <w:color w:val="auto"/>
                <w:szCs w:val="22"/>
                <w:highlight w:val="none"/>
                <w:lang w:val="en-US" w:eastAsia="zh-CN"/>
              </w:rPr>
              <w:t>/SC</w:t>
            </w:r>
            <w:r>
              <w:rPr>
                <w:rFonts w:hint="eastAsia" w:ascii="Times New Roman" w:hAnsi="Times New Roman" w:cs="Times New Roman"/>
                <w:color w:val="auto"/>
                <w:szCs w:val="22"/>
                <w:highlight w:val="none"/>
              </w:rPr>
              <w:t>-2019-AO版，201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12</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15</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w:t>
            </w:r>
            <w:r>
              <w:rPr>
                <w:rFonts w:hint="eastAsia" w:cs="Times New Roman"/>
                <w:color w:val="auto"/>
                <w:szCs w:val="22"/>
                <w:highlight w:val="none"/>
                <w:lang w:val="en-US" w:eastAsia="zh-CN"/>
              </w:rPr>
              <w:t>SB</w:t>
            </w:r>
            <w:r>
              <w:rPr>
                <w:rFonts w:hint="eastAsia" w:ascii="Times New Roman" w:hAnsi="Times New Roman" w:cs="Times New Roman"/>
                <w:color w:val="auto"/>
                <w:szCs w:val="22"/>
                <w:highlight w:val="none"/>
              </w:rPr>
              <w:t>/</w:t>
            </w:r>
            <w:r>
              <w:rPr>
                <w:rFonts w:hint="eastAsia" w:cs="Times New Roman"/>
                <w:color w:val="auto"/>
                <w:szCs w:val="22"/>
                <w:highlight w:val="none"/>
                <w:lang w:val="en-US" w:eastAsia="zh-CN"/>
              </w:rPr>
              <w:t>QES/</w:t>
            </w:r>
            <w:r>
              <w:rPr>
                <w:rFonts w:hint="eastAsia" w:ascii="Times New Roman" w:hAnsi="Times New Roman" w:cs="Times New Roman"/>
                <w:color w:val="auto"/>
                <w:szCs w:val="22"/>
                <w:highlight w:val="none"/>
              </w:rPr>
              <w:t>CX-2019，含</w:t>
            </w:r>
            <w:r>
              <w:rPr>
                <w:rFonts w:hint="eastAsia" w:cs="Times New Roman"/>
                <w:color w:val="auto"/>
                <w:szCs w:val="22"/>
                <w:highlight w:val="none"/>
                <w:lang w:val="en-US" w:eastAsia="zh-CN"/>
              </w:rPr>
              <w:t>31</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3.作业文件</w:t>
            </w:r>
            <w:r>
              <w:rPr>
                <w:rFonts w:hint="eastAsia" w:cs="Times New Roman"/>
                <w:color w:val="auto"/>
                <w:szCs w:val="22"/>
                <w:highlight w:val="none"/>
                <w:lang w:val="en-US" w:eastAsia="zh-CN"/>
              </w:rPr>
              <w:t>SB</w:t>
            </w:r>
            <w:r>
              <w:rPr>
                <w:rFonts w:hint="eastAsia"/>
                <w:sz w:val="21"/>
                <w:szCs w:val="21"/>
                <w:highlight w:val="none"/>
              </w:rPr>
              <w:t>-ZY-</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安全生产管理制度</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w:t>
            </w:r>
            <w:r>
              <w:rPr>
                <w:rFonts w:hint="eastAsia"/>
                <w:highlight w:val="none"/>
                <w:lang w:eastAsia="zh-CN"/>
              </w:rPr>
              <w:t>、法律法规与其他要求控制程序</w:t>
            </w:r>
            <w:r>
              <w:rPr>
                <w:rFonts w:hint="eastAsia"/>
                <w:highlight w:val="none"/>
              </w:rPr>
              <w:t>，用于对管理体系文件</w:t>
            </w:r>
            <w:r>
              <w:rPr>
                <w:rFonts w:hint="eastAsia"/>
                <w:highlight w:val="none"/>
                <w:lang w:eastAsia="zh-CN"/>
              </w:rPr>
              <w:t>、</w:t>
            </w:r>
            <w:r>
              <w:rPr>
                <w:rFonts w:hint="eastAsia"/>
                <w:highlight w:val="none"/>
                <w:lang w:val="en-US" w:eastAsia="zh-CN"/>
              </w:rPr>
              <w:t>法律法规的识别和</w:t>
            </w:r>
            <w:r>
              <w:rPr>
                <w:rFonts w:hint="eastAsia"/>
                <w:highlight w:val="none"/>
              </w:rPr>
              <w:t>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适用</w:t>
            </w:r>
            <w:r>
              <w:rPr>
                <w:rFonts w:hint="default" w:ascii="Times New Roman" w:hAnsi="Times New Roman" w:cs="Times New Roman"/>
                <w:color w:val="auto"/>
                <w:highlight w:val="none"/>
              </w:rPr>
              <w:t>法律法规清单》，</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ascii="Times New Roman" w:hAnsi="Times New Roman" w:cs="Times New Roman"/>
                <w:sz w:val="21"/>
                <w:szCs w:val="21"/>
                <w:lang w:val="en-US" w:eastAsia="zh-CN"/>
              </w:rPr>
              <w:t>GB16297-1996</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大气污染物综合排放</w:t>
            </w:r>
            <w:r>
              <w:rPr>
                <w:rFonts w:hint="default" w:ascii="Times New Roman" w:hAnsi="Times New Roman" w:cs="Times New Roman"/>
                <w:sz w:val="21"/>
                <w:szCs w:val="21"/>
                <w:lang w:val="en-US" w:eastAsia="zh-CN"/>
              </w:rPr>
              <w:t>标准》</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DB13/2322-2016《工业企业挥发性有机物排放控制标准》</w:t>
            </w:r>
            <w:r>
              <w:rPr>
                <w:rFonts w:hint="eastAsia" w:cs="Times New Roman"/>
                <w:sz w:val="21"/>
                <w:szCs w:val="21"/>
                <w:lang w:val="en-US" w:eastAsia="zh-CN"/>
              </w:rPr>
              <w:t>、</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cs="Times New Roman"/>
                <w:sz w:val="21"/>
                <w:szCs w:val="21"/>
                <w:lang w:eastAsia="zh-CN"/>
              </w:rPr>
              <w:t>GB/T 3324-2017《木家具通用技术条件》、</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w:t>
            </w:r>
            <w:r>
              <w:rPr>
                <w:rFonts w:hint="eastAsia" w:ascii="Times New Roman" w:hAnsi="Times New Roman" w:cs="Times New Roman"/>
                <w:sz w:val="21"/>
                <w:szCs w:val="21"/>
                <w:highlight w:val="none"/>
                <w:lang w:eastAsia="zh-CN"/>
              </w:rPr>
              <w:t>《危险源辨识、风险评价控制程序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电焊有害气体逸出诱发职业病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eastAsia"/>
                <w:sz w:val="21"/>
                <w:szCs w:val="21"/>
                <w:lang w:val="en-US" w:eastAsia="zh-CN"/>
              </w:rPr>
              <w:t>职业病、意外伤害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职业健康安全目标指标的合理性，管理方案的可行性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职业健康安全目标、指标管理方案：抽目标指标：人身伤害事故为零。</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管理方案：1.人员佩戴防护用具；2.定期检查线路老化情况；3.禁止电线乱拉乱扯责任部门</w:t>
            </w:r>
            <w:r>
              <w:rPr>
                <w:rFonts w:hint="eastAsia" w:cs="Times New Roman"/>
                <w:sz w:val="21"/>
                <w:szCs w:val="21"/>
                <w:highlight w:val="none"/>
                <w:lang w:val="en-US" w:eastAsia="zh-CN"/>
              </w:rPr>
              <w:t xml:space="preserve"> ；4.配置触电保护装置 5. 机械设备配置防护装置；6. 设备故障及时维修；责任部门</w:t>
            </w:r>
            <w:r>
              <w:rPr>
                <w:rFonts w:hint="default" w:ascii="Times New Roman" w:hAnsi="Times New Roman" w:cs="Times New Roman"/>
                <w:sz w:val="21"/>
                <w:szCs w:val="21"/>
                <w:highlight w:val="none"/>
              </w:rPr>
              <w:t>：生产部，费用：</w:t>
            </w:r>
            <w:r>
              <w:rPr>
                <w:rFonts w:hint="eastAsia" w:cs="Times New Roman"/>
                <w:sz w:val="21"/>
                <w:szCs w:val="21"/>
                <w:highlight w:val="none"/>
                <w:lang w:val="en-US" w:eastAsia="zh-CN"/>
              </w:rPr>
              <w:t>3</w:t>
            </w:r>
            <w:r>
              <w:rPr>
                <w:rFonts w:hint="default" w:ascii="Times New Roman" w:hAnsi="Times New Roman" w:cs="Times New Roman"/>
                <w:sz w:val="21"/>
                <w:szCs w:val="21"/>
                <w:highlight w:val="none"/>
              </w:rPr>
              <w:t>000元，起止时间：201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2020.3.</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共根据识别的重大危险源策划管理方案</w:t>
            </w:r>
            <w:r>
              <w:rPr>
                <w:rFonts w:hint="eastAsia" w:cs="Times New Roman"/>
                <w:sz w:val="21"/>
                <w:szCs w:val="21"/>
                <w:highlight w:val="none"/>
                <w:lang w:val="en-US" w:eastAsia="zh-CN"/>
              </w:rPr>
              <w:t>6</w:t>
            </w:r>
            <w:r>
              <w:rPr>
                <w:rFonts w:hint="default" w:ascii="Times New Roman" w:hAnsi="Times New Roman" w:cs="Times New Roman"/>
                <w:sz w:val="21"/>
                <w:szCs w:val="21"/>
                <w:highlight w:val="none"/>
              </w:rPr>
              <w:t>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各部门负责目标、指标与方案的具体实施。</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策划的职业健康安全目标指标管理方案基本可行</w:t>
            </w:r>
            <w:r>
              <w:rPr>
                <w:rFonts w:hint="eastAsia"/>
                <w:highlight w:val="none"/>
              </w:rPr>
              <w:t>。</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w:t>
            </w:r>
            <w:r>
              <w:rPr>
                <w:rFonts w:hint="eastAsia"/>
                <w:sz w:val="21"/>
                <w:szCs w:val="21"/>
                <w:lang w:eastAsia="zh-CN"/>
              </w:rPr>
              <w:t>机械伤害</w:t>
            </w:r>
            <w:r>
              <w:rPr>
                <w:rFonts w:hint="eastAsia"/>
                <w:sz w:val="21"/>
                <w:szCs w:val="21"/>
              </w:rPr>
              <w:t>应急预案</w:t>
            </w:r>
          </w:p>
        </w:tc>
        <w:tc>
          <w:tcPr>
            <w:tcW w:w="928" w:type="dxa"/>
          </w:tcPr>
          <w:p/>
        </w:tc>
      </w:tr>
    </w:tbl>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cs="宋体"/>
                <w:sz w:val="24"/>
                <w:szCs w:val="24"/>
                <w:lang w:val="en-US" w:eastAsia="zh-CN"/>
              </w:rPr>
              <w:t>耿闪/王建</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Q8.1/8.5.1；</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cs="Times New Roman"/>
                <w:color w:val="000000"/>
                <w:szCs w:val="21"/>
                <w:highlight w:val="none"/>
                <w:lang w:eastAsia="zh-CN"/>
              </w:rPr>
              <w:t>、</w:t>
            </w:r>
            <w:r>
              <w:rPr>
                <w:rFonts w:hint="eastAsia" w:cs="Times New Roman"/>
                <w:sz w:val="21"/>
                <w:szCs w:val="21"/>
                <w:lang w:eastAsia="zh-CN"/>
              </w:rPr>
              <w:t>GB/T 3324-2017《木家具通用技术条件》</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了解的产品和服务实现流程为：</w:t>
            </w:r>
          </w:p>
          <w:p>
            <w:pPr>
              <w:rPr>
                <w:rFonts w:hint="eastAsia"/>
                <w:sz w:val="21"/>
                <w:szCs w:val="21"/>
              </w:rPr>
            </w:pPr>
            <w:r>
              <w:rPr>
                <w:rFonts w:hint="eastAsia"/>
                <w:sz w:val="21"/>
                <w:szCs w:val="21"/>
              </w:rPr>
              <w:t>钢木家具：饰面人造板→下料→排孔→封边→（+钢制件）→组装→成品</w:t>
            </w:r>
          </w:p>
          <w:p>
            <w:pPr>
              <w:rPr>
                <w:rFonts w:hint="eastAsia"/>
                <w:sz w:val="21"/>
                <w:szCs w:val="21"/>
              </w:rPr>
            </w:pPr>
            <w:r>
              <w:rPr>
                <w:rFonts w:hint="eastAsia"/>
                <w:sz w:val="21"/>
                <w:szCs w:val="21"/>
              </w:rPr>
              <w:t>木制家具：开料→封边→排孔→底漆→打磨→面漆→自然风干→组装→成品</w:t>
            </w:r>
          </w:p>
          <w:p>
            <w:pPr>
              <w:rPr>
                <w:rFonts w:hint="eastAsia"/>
                <w:u w:val="single"/>
                <w:lang w:val="en-US" w:eastAsia="zh-CN"/>
              </w:rPr>
            </w:pPr>
            <w:r>
              <w:rPr>
                <w:rFonts w:hint="eastAsia"/>
                <w:u w:val="single"/>
                <w:lang w:val="en-US" w:eastAsia="zh-CN"/>
              </w:rPr>
              <w:t>《管理手册》识别不符。</w:t>
            </w:r>
          </w:p>
          <w:p>
            <w:pPr>
              <w:rPr>
                <w:rFonts w:hint="eastAsia"/>
                <w:sz w:val="21"/>
                <w:szCs w:val="21"/>
              </w:rPr>
            </w:pPr>
            <w:r>
              <w:rPr>
                <w:rFonts w:hint="eastAsia"/>
                <w:sz w:val="21"/>
                <w:szCs w:val="21"/>
              </w:rPr>
              <w:t>销售服务流程：</w:t>
            </w:r>
          </w:p>
          <w:p>
            <w:pPr>
              <w:rPr>
                <w:rFonts w:hint="eastAsia"/>
                <w:sz w:val="21"/>
                <w:szCs w:val="21"/>
              </w:rPr>
            </w:pPr>
            <w:r>
              <w:rPr>
                <w:rFonts w:hint="eastAsia"/>
                <w:sz w:val="21"/>
                <w:szCs w:val="21"/>
                <w:lang w:val="en-US" w:eastAsia="zh-CN"/>
              </w:rPr>
              <w:t>客户洽谈</w:t>
            </w:r>
            <w:r>
              <w:rPr>
                <w:rFonts w:hint="eastAsia"/>
                <w:sz w:val="21"/>
                <w:szCs w:val="21"/>
              </w:rPr>
              <w:t>―合同评审―签订合同―下达生产任务单（组织生产）―客户验收―交付</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封边</w:t>
            </w:r>
            <w:r>
              <w:rPr>
                <w:rFonts w:hint="eastAsia"/>
                <w:sz w:val="21"/>
                <w:szCs w:val="21"/>
                <w:lang w:eastAsia="zh-CN"/>
              </w:rPr>
              <w:t>工艺要求》《</w:t>
            </w:r>
            <w:r>
              <w:rPr>
                <w:rFonts w:hint="eastAsia"/>
                <w:sz w:val="21"/>
                <w:szCs w:val="21"/>
                <w:lang w:val="en-US" w:eastAsia="zh-CN"/>
              </w:rPr>
              <w:t>销售服务规范</w:t>
            </w:r>
            <w:r>
              <w:rPr>
                <w:rFonts w:hint="eastAsia"/>
                <w:sz w:val="21"/>
                <w:szCs w:val="21"/>
                <w:lang w:eastAsia="zh-CN"/>
              </w:rPr>
              <w:t>》等作业文件。</w:t>
            </w:r>
          </w:p>
          <w:p>
            <w:pPr>
              <w:rPr>
                <w:rFonts w:hint="default" w:ascii="Times New Roman" w:hAnsi="Times New Roman" w:eastAsia="宋体" w:cs="Times New Roman"/>
                <w:kern w:val="2"/>
                <w:sz w:val="21"/>
                <w:lang w:val="en-US" w:eastAsia="zh-CN" w:bidi="ar-SA"/>
              </w:rPr>
            </w:pPr>
            <w:r>
              <w:rPr>
                <w:rFonts w:hint="eastAsia"/>
                <w:u w:val="single"/>
              </w:rPr>
              <w:t>需确</w:t>
            </w:r>
            <w:r>
              <w:rPr>
                <w:rFonts w:hint="eastAsia"/>
                <w:u w:val="single"/>
                <w:lang w:eastAsia="zh-CN"/>
              </w:rPr>
              <w:t>认</w:t>
            </w:r>
            <w:r>
              <w:rPr>
                <w:rFonts w:hint="eastAsia"/>
                <w:u w:val="single"/>
              </w:rPr>
              <w:t>过程</w:t>
            </w:r>
            <w:r>
              <w:rPr>
                <w:rFonts w:hint="eastAsia"/>
                <w:u w:val="single"/>
                <w:lang w:eastAsia="zh-CN"/>
              </w:rPr>
              <w:t>：</w:t>
            </w:r>
            <w:r>
              <w:rPr>
                <w:rFonts w:hint="eastAsia"/>
                <w:u w:val="single"/>
                <w:lang w:val="en-US" w:eastAsia="zh-CN"/>
              </w:rPr>
              <w:t>封边</w:t>
            </w:r>
            <w:r>
              <w:rPr>
                <w:rFonts w:hint="eastAsia"/>
                <w:u w:val="single"/>
                <w:lang w:eastAsia="zh-CN"/>
              </w:rPr>
              <w:t>、喷涂</w:t>
            </w:r>
            <w:r>
              <w:rPr>
                <w:rFonts w:hint="eastAsia"/>
                <w:u w:val="single"/>
                <w:lang w:val="en-US" w:eastAsia="zh-CN"/>
              </w:rPr>
              <w:t>。《管理手册》识别不符。</w:t>
            </w:r>
          </w:p>
        </w:tc>
        <w:tc>
          <w:tcPr>
            <w:tcW w:w="928"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w:t>
            </w:r>
            <w:r>
              <w:rPr>
                <w:rFonts w:hint="eastAsia" w:ascii="Times New Roman" w:hAnsi="Times New Roman" w:cs="Times New Roman"/>
                <w:sz w:val="21"/>
                <w:szCs w:val="21"/>
                <w:highlight w:val="none"/>
                <w:lang w:eastAsia="zh-CN"/>
              </w:rPr>
              <w:t>《危险源辨识、风险评价控制程序</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电焊有害气体逸出诱发职业病</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设备操作噪声排放影响听力等，评价基本全面</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潜在火灾、触电、废气伤害、机械伤害、噪声伤害、</w:t>
            </w:r>
            <w:r>
              <w:rPr>
                <w:rFonts w:hint="eastAsia"/>
                <w:sz w:val="21"/>
                <w:szCs w:val="21"/>
                <w:lang w:val="en-US" w:eastAsia="zh-CN"/>
              </w:rPr>
              <w:t>职业病、意外伤害</w:t>
            </w:r>
            <w:bookmarkStart w:id="0" w:name="_GoBack"/>
            <w:bookmarkEnd w:id="0"/>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2B67A3"/>
    <w:rsid w:val="176842C7"/>
    <w:rsid w:val="2858425E"/>
    <w:rsid w:val="2BEE44E1"/>
    <w:rsid w:val="2D1871B5"/>
    <w:rsid w:val="4AB02D32"/>
    <w:rsid w:val="65080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2020-04-30T01:44:29Z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