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09"/>
        <w:gridCol w:w="11146"/>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46"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cs="宋体"/>
                <w:sz w:val="24"/>
                <w:szCs w:val="24"/>
                <w:lang w:val="en-US" w:eastAsia="zh-CN"/>
              </w:rPr>
              <w:t>杨合香</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1009" w:type="dxa"/>
            <w:vMerge w:val="continue"/>
            <w:vAlign w:val="center"/>
          </w:tcPr>
          <w:p/>
        </w:tc>
        <w:tc>
          <w:tcPr>
            <w:tcW w:w="1114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朱晓丽、张星            </w:t>
            </w:r>
            <w:r>
              <w:rPr>
                <w:rFonts w:hint="eastAsia"/>
                <w:sz w:val="24"/>
                <w:szCs w:val="24"/>
              </w:rPr>
              <w:t>审核时间：</w:t>
            </w:r>
            <w:r>
              <w:rPr>
                <w:rFonts w:hint="eastAsia"/>
                <w:sz w:val="24"/>
                <w:szCs w:val="24"/>
                <w:lang w:val="en-US" w:eastAsia="zh-CN"/>
              </w:rPr>
              <w:t>2020.4.20</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1009" w:type="dxa"/>
            <w:vMerge w:val="continue"/>
            <w:vAlign w:val="center"/>
          </w:tcPr>
          <w:p/>
        </w:tc>
        <w:tc>
          <w:tcPr>
            <w:tcW w:w="11146" w:type="dxa"/>
            <w:vAlign w:val="center"/>
          </w:tcPr>
          <w:p>
            <w:pPr>
              <w:rPr>
                <w:sz w:val="24"/>
                <w:szCs w:val="24"/>
              </w:rPr>
            </w:pPr>
            <w:r>
              <w:rPr>
                <w:rFonts w:hint="eastAsia"/>
                <w:sz w:val="24"/>
                <w:szCs w:val="24"/>
              </w:rPr>
              <w:t>审核条款：</w:t>
            </w:r>
            <w:r>
              <w:rPr>
                <w:rFonts w:hint="eastAsia"/>
                <w:sz w:val="21"/>
                <w:szCs w:val="21"/>
                <w:lang w:val="en-US" w:eastAsia="zh-CN"/>
              </w:rPr>
              <w:t>QE</w:t>
            </w:r>
            <w:r>
              <w:rPr>
                <w:rFonts w:hint="eastAsia"/>
                <w:sz w:val="21"/>
                <w:szCs w:val="21"/>
              </w:rPr>
              <w:t>4.1/4.3/4.4/5.2/6.2/7.1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1009" w:type="dxa"/>
            <w:vAlign w:val="top"/>
          </w:tcPr>
          <w:p>
            <w:pPr>
              <w:rPr>
                <w:rFonts w:hint="eastAsia"/>
                <w:lang w:val="en-US" w:eastAsia="zh-CN"/>
              </w:rPr>
            </w:pPr>
            <w:r>
              <w:rPr>
                <w:rFonts w:hint="eastAsia"/>
                <w:lang w:val="en-US" w:eastAsia="zh-CN"/>
              </w:rPr>
              <w:t>QE4.1</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1146" w:type="dxa"/>
            <w:vAlign w:val="top"/>
          </w:tcPr>
          <w:p>
            <w:pPr>
              <w:rPr>
                <w:rFonts w:hint="eastAsia" w:eastAsia="宋体"/>
                <w:sz w:val="21"/>
                <w:szCs w:val="21"/>
                <w:lang w:val="en-US" w:eastAsia="zh-CN"/>
              </w:rPr>
            </w:pPr>
            <w:r>
              <w:rPr>
                <w:rFonts w:hint="eastAsia"/>
                <w:sz w:val="21"/>
                <w:szCs w:val="21"/>
              </w:rPr>
              <w:t>总经理</w:t>
            </w:r>
            <w:r>
              <w:rPr>
                <w:rFonts w:hint="eastAsia"/>
                <w:sz w:val="21"/>
                <w:szCs w:val="21"/>
                <w:lang w:val="en-US" w:eastAsia="zh-CN"/>
              </w:rPr>
              <w:t>：杨合香，</w:t>
            </w:r>
            <w:r>
              <w:rPr>
                <w:rFonts w:hint="eastAsia"/>
                <w:sz w:val="21"/>
                <w:szCs w:val="21"/>
              </w:rPr>
              <w:t>管理者代表：</w:t>
            </w:r>
            <w:r>
              <w:rPr>
                <w:rFonts w:hint="eastAsia"/>
                <w:sz w:val="21"/>
                <w:szCs w:val="21"/>
                <w:lang w:eastAsia="zh-CN"/>
              </w:rPr>
              <w:t>杨合蕊</w:t>
            </w:r>
          </w:p>
          <w:p>
            <w:pPr>
              <w:rPr>
                <w:rFonts w:hint="eastAsia" w:ascii="Times New Roman" w:hAnsi="Times New Roman" w:cs="Times New Roman"/>
                <w:sz w:val="21"/>
                <w:szCs w:val="21"/>
                <w:lang w:eastAsia="zh-CN"/>
              </w:rPr>
            </w:pPr>
            <w:r>
              <w:t>■</w:t>
            </w:r>
            <w:r>
              <w:rPr>
                <w:rFonts w:hint="eastAsia" w:cs="宋体"/>
              </w:rPr>
              <w:t>受审核方</w:t>
            </w:r>
            <w:r>
              <w:rPr>
                <w:rFonts w:hint="eastAsia"/>
                <w:sz w:val="21"/>
                <w:szCs w:val="21"/>
                <w:lang w:eastAsia="zh-CN"/>
              </w:rPr>
              <w:t>霸州市鑫智教学设备有限公司</w:t>
            </w:r>
            <w:r>
              <w:rPr>
                <w:rFonts w:hint="eastAsia" w:cs="宋体"/>
              </w:rPr>
              <w:t>成立于</w:t>
            </w:r>
            <w:r>
              <w:t>20</w:t>
            </w:r>
            <w:r>
              <w:rPr>
                <w:rFonts w:hint="eastAsia"/>
                <w:lang w:val="en-US" w:eastAsia="zh-CN"/>
              </w:rPr>
              <w:t>16</w:t>
            </w:r>
            <w:r>
              <w:rPr>
                <w:rFonts w:hint="eastAsia" w:cs="宋体"/>
              </w:rPr>
              <w:t>年</w:t>
            </w:r>
            <w:r>
              <w:rPr>
                <w:rFonts w:hint="eastAsia"/>
                <w:lang w:val="en-US" w:eastAsia="zh-CN"/>
              </w:rPr>
              <w:t>11</w:t>
            </w:r>
            <w:r>
              <w:rPr>
                <w:rFonts w:hint="eastAsia" w:cs="宋体"/>
              </w:rPr>
              <w:t>月</w:t>
            </w:r>
            <w:r>
              <w:rPr>
                <w:rFonts w:hint="eastAsia" w:cs="宋体"/>
                <w:lang w:val="en-US" w:eastAsia="zh-CN"/>
              </w:rPr>
              <w:t>24</w:t>
            </w:r>
            <w:r>
              <w:rPr>
                <w:rFonts w:hint="eastAsia" w:cs="宋体"/>
              </w:rPr>
              <w:t>日，注册资本</w:t>
            </w:r>
            <w:r>
              <w:rPr>
                <w:rFonts w:hint="eastAsia" w:cs="宋体"/>
                <w:lang w:val="en-US" w:eastAsia="zh-CN"/>
              </w:rPr>
              <w:t>3068</w:t>
            </w:r>
            <w:r>
              <w:rPr>
                <w:rFonts w:hint="eastAsia" w:cs="宋体"/>
              </w:rPr>
              <w:t>万元，</w:t>
            </w:r>
            <w:r>
              <w:rPr>
                <w:rFonts w:hint="eastAsia" w:cs="宋体"/>
                <w:lang w:val="en-US" w:eastAsia="zh-CN"/>
              </w:rPr>
              <w:t>注册</w:t>
            </w:r>
            <w:r>
              <w:rPr>
                <w:rFonts w:hint="eastAsia" w:cs="宋体"/>
              </w:rPr>
              <w:t>地址位于</w:t>
            </w:r>
            <w:r>
              <w:rPr>
                <w:rFonts w:hint="eastAsia" w:ascii="宋体" w:hAnsi="宋体" w:eastAsia="宋体"/>
                <w:szCs w:val="21"/>
                <w:lang w:val="en-US" w:eastAsia="zh-CN"/>
              </w:rPr>
              <w:t>河北省廊坊市霸州市王庄子</w:t>
            </w:r>
            <w:r>
              <w:rPr>
                <w:rFonts w:hint="eastAsia" w:ascii="Times New Roman" w:hAnsi="Times New Roman" w:cs="Times New Roman"/>
                <w:sz w:val="21"/>
                <w:szCs w:val="21"/>
                <w:lang w:val="en-US" w:eastAsia="zh-CN"/>
              </w:rPr>
              <w:t>乡王庄子村</w:t>
            </w:r>
            <w:r>
              <w:rPr>
                <w:rFonts w:hint="eastAsia" w:ascii="Times New Roman" w:hAnsi="Times New Roman" w:cs="Times New Roman"/>
                <w:sz w:val="21"/>
                <w:szCs w:val="21"/>
                <w:lang w:eastAsia="zh-CN"/>
              </w:rPr>
              <w:t>，</w:t>
            </w:r>
            <w:r>
              <w:rPr>
                <w:rFonts w:hint="eastAsia" w:cs="Times New Roman"/>
                <w:sz w:val="21"/>
                <w:szCs w:val="21"/>
                <w:lang w:val="en-US" w:eastAsia="zh-CN"/>
              </w:rPr>
              <w:t>生产地址位于</w:t>
            </w:r>
            <w:r>
              <w:t>河北省廊坊市霸州市</w:t>
            </w:r>
            <w:r>
              <w:rPr>
                <w:rFonts w:hint="eastAsia"/>
              </w:rPr>
              <w:t>煎茶铺镇中台山村北</w:t>
            </w:r>
            <w:r>
              <w:rPr>
                <w:rFonts w:hint="eastAsia"/>
                <w:lang w:eastAsia="zh-CN"/>
              </w:rPr>
              <w:t>，</w:t>
            </w:r>
            <w:r>
              <w:rPr>
                <w:rFonts w:hint="eastAsia" w:ascii="Times New Roman" w:hAnsi="Times New Roman" w:cs="Times New Roman"/>
                <w:sz w:val="21"/>
                <w:szCs w:val="21"/>
                <w:lang w:val="en-US" w:eastAsia="zh-CN"/>
              </w:rPr>
              <w:t>生产面积约2000平米</w:t>
            </w:r>
            <w:r>
              <w:rPr>
                <w:rFonts w:hint="eastAsia" w:ascii="Times New Roman" w:hAnsi="Times New Roman" w:cs="Times New Roman"/>
                <w:sz w:val="21"/>
                <w:szCs w:val="21"/>
                <w:lang w:eastAsia="zh-CN"/>
              </w:rPr>
              <w:t>，主要从事</w:t>
            </w:r>
            <w:r>
              <w:rPr>
                <w:rFonts w:hint="eastAsia" w:ascii="Times New Roman" w:hAnsi="Times New Roman" w:cs="Times New Roman"/>
                <w:sz w:val="21"/>
                <w:szCs w:val="21"/>
                <w:lang w:val="en-US" w:eastAsia="zh-CN"/>
              </w:rPr>
              <w:t>钢木家具（课桌凳、课桌椅、上下床、餐桌椅、排椅）的生产和销售</w:t>
            </w:r>
            <w:r>
              <w:rPr>
                <w:rFonts w:hint="eastAsia" w:ascii="Times New Roman" w:hAnsi="Times New Roman" w:cs="Times New Roman"/>
                <w:sz w:val="21"/>
                <w:szCs w:val="21"/>
                <w:lang w:eastAsia="zh-CN"/>
              </w:rPr>
              <w:t>。</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w:t>
            </w:r>
            <w:r>
              <w:rPr>
                <w:rFonts w:hint="eastAsia"/>
                <w:lang w:eastAsia="zh-CN"/>
              </w:rPr>
              <w:t>SG</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rFonts w:hint="eastAsia" w:ascii="Times New Roman" w:hAnsi="Times New Roman" w:eastAsia="宋体" w:cs="Times New Roman"/>
                <w:szCs w:val="22"/>
                <w:lang w:val="en-US" w:eastAsia="zh-CN"/>
              </w:rPr>
            </w:pPr>
            <w:r>
              <w:rPr>
                <w:rFonts w:hint="eastAsia" w:cs="Times New Roman"/>
                <w:szCs w:val="22"/>
                <w:lang w:val="en-US" w:eastAsia="zh-CN"/>
              </w:rPr>
              <w:t>Q</w:t>
            </w:r>
            <w:r>
              <w:rPr>
                <w:rFonts w:hint="eastAsia" w:ascii="Times New Roman" w:hAnsi="Times New Roman" w:cs="Times New Roman"/>
                <w:szCs w:val="22"/>
                <w:lang w:val="en-US" w:eastAsia="zh-CN"/>
              </w:rPr>
              <w:t>钢木家具（课桌凳、课桌椅、上下床、餐桌椅、排椅）的生产和销售</w:t>
            </w:r>
          </w:p>
          <w:p>
            <w:pPr>
              <w:rPr>
                <w:rFonts w:hint="eastAsia" w:ascii="Times New Roman" w:hAnsi="Times New Roman" w:cs="Times New Roman"/>
                <w:szCs w:val="22"/>
                <w:lang w:val="en-US" w:eastAsia="zh-CN"/>
              </w:rPr>
            </w:pPr>
            <w:r>
              <w:rPr>
                <w:rFonts w:hint="eastAsia" w:cs="Times New Roman"/>
                <w:szCs w:val="22"/>
                <w:lang w:val="en-US" w:eastAsia="zh-CN"/>
              </w:rPr>
              <w:t>E</w:t>
            </w:r>
            <w:r>
              <w:rPr>
                <w:rFonts w:hint="eastAsia" w:ascii="Times New Roman" w:hAnsi="Times New Roman" w:cs="Times New Roman"/>
                <w:szCs w:val="22"/>
                <w:lang w:val="en-US" w:eastAsia="zh-CN"/>
              </w:rPr>
              <w:t>钢木家具（课桌凳、课桌椅、上下床、餐桌椅、排椅）的生产和销售及其所涉及的</w:t>
            </w:r>
            <w:r>
              <w:rPr>
                <w:rFonts w:hint="eastAsia" w:cs="Times New Roman"/>
                <w:szCs w:val="22"/>
                <w:lang w:val="en-US" w:eastAsia="zh-CN"/>
              </w:rPr>
              <w:t>环境</w:t>
            </w:r>
            <w:r>
              <w:rPr>
                <w:rFonts w:hint="eastAsia" w:ascii="Times New Roman" w:hAnsi="Times New Roman" w:cs="Times New Roman"/>
                <w:szCs w:val="22"/>
                <w:lang w:val="en-US" w:eastAsia="zh-CN"/>
              </w:rPr>
              <w:t>管理活动</w:t>
            </w:r>
          </w:p>
          <w:p>
            <w:pPr>
              <w:rPr>
                <w:rFonts w:hint="eastAsia" w:eastAsia="宋体"/>
                <w:lang w:eastAsia="zh-CN"/>
              </w:rPr>
            </w:pPr>
            <w:r>
              <w:t>■</w:t>
            </w:r>
            <w:r>
              <w:rPr>
                <w:rFonts w:hint="eastAsia"/>
                <w:u w:val="none"/>
              </w:rPr>
              <w:t>外包过程：</w:t>
            </w:r>
            <w:r>
              <w:rPr>
                <w:rFonts w:hint="eastAsia"/>
                <w:u w:val="none"/>
                <w:lang w:eastAsia="zh-CN"/>
              </w:rPr>
              <w:t>板材加工</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25</w:t>
            </w:r>
            <w:r>
              <w:rPr>
                <w:rFonts w:hint="eastAsia"/>
              </w:rPr>
              <w:t>人，无倒班情况</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1009" w:type="dxa"/>
            <w:vAlign w:val="top"/>
          </w:tcPr>
          <w:p>
            <w:pPr>
              <w:rPr>
                <w:rFonts w:hint="eastAsia"/>
              </w:rPr>
            </w:pPr>
            <w:r>
              <w:rPr>
                <w:rFonts w:hint="eastAsia"/>
                <w:lang w:val="en-US" w:eastAsia="zh-CN"/>
              </w:rPr>
              <w:t>QE5.2     6.2</w:t>
            </w:r>
          </w:p>
          <w:p>
            <w:pPr>
              <w:rPr>
                <w:rFonts w:ascii="Times New Roman" w:hAnsi="Times New Roman" w:eastAsia="宋体" w:cs="Times New Roman"/>
                <w:kern w:val="2"/>
                <w:sz w:val="21"/>
                <w:lang w:val="en-US" w:eastAsia="zh-CN" w:bidi="ar-SA"/>
              </w:rPr>
            </w:pPr>
          </w:p>
        </w:tc>
        <w:tc>
          <w:tcPr>
            <w:tcW w:w="11146" w:type="dxa"/>
            <w:vAlign w:val="top"/>
          </w:tcPr>
          <w:p>
            <w:pPr>
              <w:rPr>
                <w:rFonts w:hint="eastAsia" w:ascii="Times New Roman" w:hAnsi="Times New Roman" w:cs="宋体"/>
                <w:szCs w:val="22"/>
              </w:rPr>
            </w:pPr>
            <w:r>
              <w:rPr>
                <w:rFonts w:hint="eastAsia" w:ascii="Times New Roman" w:hAnsi="Times New Roman" w:cs="宋体"/>
                <w:szCs w:val="22"/>
              </w:rPr>
              <w:t>管理手册明确了公司的管理方针：顾客满意，质量第一。遵守法规，预防污染。遵守法规，安全第一</w:t>
            </w:r>
            <w:r>
              <w:rPr>
                <w:rFonts w:hint="eastAsia" w:ascii="Times New Roman" w:hAnsi="Times New Roman" w:cs="宋体"/>
                <w:szCs w:val="22"/>
                <w:lang w:eastAsia="zh-CN"/>
              </w:rPr>
              <w:t>。</w:t>
            </w:r>
            <w:r>
              <w:rPr>
                <w:rFonts w:hint="eastAsia" w:ascii="Times New Roman" w:hAnsi="Times New Roman" w:cs="宋体"/>
                <w:szCs w:val="22"/>
              </w:rPr>
              <w:t>总经理证实，与企业的宗旨一直，随管理手册的发布宣传贯彻。</w:t>
            </w:r>
          </w:p>
          <w:p>
            <w:pPr>
              <w:rPr>
                <w:rFonts w:ascii="Times New Roman" w:hAnsi="Times New Roman" w:eastAsia="宋体" w:cs="Times New Roman"/>
                <w:kern w:val="2"/>
                <w:sz w:val="21"/>
                <w:lang w:val="en-US" w:eastAsia="zh-CN" w:bidi="ar-SA"/>
              </w:rPr>
            </w:pPr>
            <w:r>
              <w:rPr>
                <w:rFonts w:hint="eastAsia" w:ascii="Times New Roman" w:hAnsi="Times New Roman" w:cs="宋体"/>
                <w:szCs w:val="22"/>
              </w:rPr>
              <w:t>公司目标：1、顾客满意度≥85分；2、成品一次交验合格率≥</w:t>
            </w:r>
            <w:r>
              <w:rPr>
                <w:rFonts w:hint="eastAsia" w:ascii="Times New Roman" w:hAnsi="Times New Roman" w:cs="宋体"/>
                <w:szCs w:val="22"/>
                <w:lang w:val="en-US" w:eastAsia="zh-CN"/>
              </w:rPr>
              <w:t>98</w:t>
            </w:r>
            <w:r>
              <w:rPr>
                <w:rFonts w:hint="eastAsia" w:ascii="Times New Roman" w:hAnsi="Times New Roman" w:cs="宋体"/>
                <w:szCs w:val="22"/>
              </w:rPr>
              <w:t>%</w:t>
            </w:r>
            <w:r>
              <w:rPr>
                <w:rFonts w:hint="eastAsia" w:ascii="Times New Roman" w:hAnsi="Times New Roman" w:cs="宋体"/>
                <w:szCs w:val="22"/>
                <w:lang w:val="en-US" w:eastAsia="zh-CN"/>
              </w:rPr>
              <w:t>3</w:t>
            </w:r>
            <w:r>
              <w:rPr>
                <w:rFonts w:hint="eastAsia" w:ascii="Times New Roman" w:hAnsi="Times New Roman" w:cs="宋体"/>
                <w:szCs w:val="22"/>
              </w:rPr>
              <w:t>、</w:t>
            </w:r>
            <w:r>
              <w:rPr>
                <w:rFonts w:hint="eastAsia" w:ascii="Times New Roman" w:hAnsi="Times New Roman" w:cs="宋体"/>
                <w:szCs w:val="22"/>
                <w:lang w:eastAsia="zh-CN"/>
              </w:rPr>
              <w:t>及时交付</w:t>
            </w:r>
            <w:r>
              <w:rPr>
                <w:rFonts w:hint="eastAsia" w:ascii="Times New Roman" w:hAnsi="Times New Roman" w:cs="宋体"/>
                <w:szCs w:val="22"/>
              </w:rPr>
              <w:t>率</w:t>
            </w:r>
            <w:r>
              <w:rPr>
                <w:rFonts w:hint="eastAsia" w:ascii="Times New Roman" w:hAnsi="Times New Roman" w:cs="宋体"/>
                <w:szCs w:val="22"/>
                <w:lang w:val="en-US" w:eastAsia="zh-CN"/>
              </w:rPr>
              <w:t>100</w:t>
            </w:r>
            <w:r>
              <w:rPr>
                <w:rFonts w:hint="eastAsia" w:ascii="Times New Roman" w:hAnsi="Times New Roman" w:cs="宋体"/>
                <w:szCs w:val="22"/>
              </w:rPr>
              <w:t>%</w:t>
            </w:r>
            <w:r>
              <w:rPr>
                <w:rFonts w:hint="eastAsia" w:ascii="Times New Roman" w:hAnsi="Times New Roman" w:cs="宋体"/>
                <w:szCs w:val="22"/>
                <w:lang w:eastAsia="zh-CN"/>
              </w:rPr>
              <w:t>；</w:t>
            </w:r>
            <w:r>
              <w:rPr>
                <w:rFonts w:hint="eastAsia" w:ascii="Times New Roman" w:hAnsi="Times New Roman" w:cs="宋体"/>
                <w:szCs w:val="22"/>
                <w:lang w:val="en-US" w:eastAsia="zh-CN"/>
              </w:rPr>
              <w:t>4</w:t>
            </w:r>
            <w:r>
              <w:rPr>
                <w:rFonts w:hint="eastAsia" w:ascii="Times New Roman" w:hAnsi="Times New Roman" w:cs="宋体"/>
                <w:szCs w:val="22"/>
              </w:rPr>
              <w:t>、火灾事故为0；</w:t>
            </w:r>
            <w:r>
              <w:rPr>
                <w:rFonts w:hint="eastAsia" w:ascii="Times New Roman" w:hAnsi="Times New Roman" w:cs="宋体"/>
                <w:szCs w:val="22"/>
                <w:lang w:val="en-US" w:eastAsia="zh-CN"/>
              </w:rPr>
              <w:t>5</w:t>
            </w:r>
            <w:r>
              <w:rPr>
                <w:rFonts w:hint="eastAsia" w:ascii="Times New Roman" w:hAnsi="Times New Roman" w:cs="宋体"/>
                <w:szCs w:val="22"/>
              </w:rPr>
              <w:t>、固废分类回收率100%；</w:t>
            </w:r>
            <w:r>
              <w:rPr>
                <w:rFonts w:hint="eastAsia" w:ascii="Times New Roman" w:hAnsi="Times New Roman" w:cs="宋体"/>
                <w:szCs w:val="22"/>
                <w:lang w:val="en-US" w:eastAsia="zh-CN"/>
              </w:rPr>
              <w:t>6</w:t>
            </w:r>
            <w:r>
              <w:rPr>
                <w:rFonts w:hint="eastAsia" w:ascii="Times New Roman" w:hAnsi="Times New Roman" w:cs="宋体"/>
                <w:szCs w:val="22"/>
              </w:rPr>
              <w:t>、噪声、废气达标排放</w:t>
            </w:r>
            <w:r>
              <w:rPr>
                <w:rFonts w:hint="eastAsia" w:ascii="Times New Roman" w:hAnsi="Times New Roman" w:cs="宋体"/>
                <w:szCs w:val="22"/>
                <w:lang w:eastAsia="zh-CN"/>
              </w:rPr>
              <w:t>；</w:t>
            </w:r>
            <w:r>
              <w:rPr>
                <w:rFonts w:hint="eastAsia" w:ascii="Times New Roman" w:hAnsi="Times New Roman" w:cs="宋体"/>
                <w:szCs w:val="22"/>
                <w:lang w:val="en-US" w:eastAsia="zh-CN"/>
              </w:rPr>
              <w:t>7</w:t>
            </w:r>
            <w:r>
              <w:rPr>
                <w:rFonts w:hint="eastAsia" w:ascii="Times New Roman" w:hAnsi="Times New Roman" w:cs="宋体"/>
                <w:szCs w:val="22"/>
              </w:rPr>
              <w:t>、人身伤害事故为0</w:t>
            </w:r>
            <w:r>
              <w:rPr>
                <w:rFonts w:hint="eastAsia" w:ascii="Times New Roman" w:hAnsi="Times New Roman" w:cs="宋体"/>
                <w:szCs w:val="22"/>
                <w:lang w:eastAsia="zh-CN"/>
              </w:rPr>
              <w:t>。</w:t>
            </w:r>
            <w:r>
              <w:rPr>
                <w:rFonts w:hint="eastAsia" w:ascii="Times New Roman" w:hAnsi="Times New Roman" w:cs="宋体"/>
                <w:szCs w:val="22"/>
              </w:rPr>
              <w:t>基本符合标准要求。在方针框架下展开，并分解到各职能部门。</w:t>
            </w:r>
          </w:p>
        </w:tc>
        <w:tc>
          <w:tcPr>
            <w:tcW w:w="928" w:type="dxa"/>
          </w:tcPr>
          <w:p/>
        </w:tc>
      </w:tr>
    </w:tbl>
    <w:p>
      <w:r>
        <w:ptab w:relativeTo="margin" w:alignment="center" w:leader="none"/>
      </w:r>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w:t>
            </w:r>
            <w:r>
              <w:rPr>
                <w:rFonts w:hint="eastAsia"/>
                <w:sz w:val="24"/>
                <w:szCs w:val="24"/>
                <w:lang w:eastAsia="zh-CN"/>
              </w:rPr>
              <w:t>：</w:t>
            </w:r>
            <w:r>
              <w:rPr>
                <w:rFonts w:hint="eastAsia" w:cs="宋体"/>
                <w:sz w:val="24"/>
                <w:szCs w:val="24"/>
                <w:lang w:val="en-US" w:eastAsia="zh-CN"/>
              </w:rPr>
              <w:t>杨合蕊</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朱晓丽、张星            </w:t>
            </w:r>
            <w:r>
              <w:rPr>
                <w:rFonts w:hint="eastAsia"/>
                <w:sz w:val="24"/>
                <w:szCs w:val="24"/>
              </w:rPr>
              <w:t>审核时间：</w:t>
            </w:r>
            <w:r>
              <w:rPr>
                <w:rFonts w:hint="eastAsia"/>
                <w:sz w:val="24"/>
                <w:szCs w:val="24"/>
                <w:lang w:val="en-US" w:eastAsia="zh-CN"/>
              </w:rPr>
              <w:t>2020.4.20</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Q7.5；E</w:t>
            </w:r>
            <w:r>
              <w:rPr>
                <w:rFonts w:hint="eastAsia"/>
                <w:sz w:val="21"/>
                <w:szCs w:val="21"/>
                <w:lang w:val="en-US" w:eastAsia="zh-CN"/>
              </w:rPr>
              <w:t xml:space="preserve"> 6.1.2/6.2.2/7.5</w:t>
            </w:r>
            <w:r>
              <w:rPr>
                <w:rFonts w:hint="eastAsia"/>
                <w:sz w:val="21"/>
                <w:szCs w:val="21"/>
              </w:rPr>
              <w:t>/8.2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highlight w:val="none"/>
              </w:rPr>
            </w:pPr>
            <w:r>
              <w:rPr>
                <w:rFonts w:hint="eastAsia"/>
                <w:highlight w:val="none"/>
              </w:rPr>
              <w:t>管理体系文件</w:t>
            </w:r>
          </w:p>
          <w:p>
            <w:pPr>
              <w:rPr>
                <w:rFonts w:hint="default" w:ascii="Times New Roman" w:hAnsi="Times New Roman" w:cs="Times New Roman"/>
                <w:kern w:val="2"/>
                <w:sz w:val="21"/>
                <w:lang w:val="en-US" w:eastAsia="zh-CN" w:bidi="ar-SA"/>
              </w:rPr>
            </w:pPr>
          </w:p>
        </w:tc>
        <w:tc>
          <w:tcPr>
            <w:tcW w:w="991" w:type="dxa"/>
            <w:vAlign w:val="top"/>
          </w:tcPr>
          <w:p>
            <w:pPr>
              <w:rPr>
                <w:rFonts w:hint="default" w:eastAsia="宋体"/>
                <w:sz w:val="21"/>
                <w:szCs w:val="21"/>
                <w:lang w:val="en-US" w:eastAsia="zh-CN"/>
              </w:rPr>
            </w:pPr>
            <w:r>
              <w:rPr>
                <w:rFonts w:hint="eastAsia"/>
                <w:sz w:val="21"/>
                <w:szCs w:val="21"/>
                <w:lang w:val="en-US" w:eastAsia="zh-CN"/>
              </w:rPr>
              <w:t>QE7.5</w:t>
            </w:r>
          </w:p>
        </w:tc>
        <w:tc>
          <w:tcPr>
            <w:tcW w:w="11164" w:type="dxa"/>
            <w:vAlign w:val="top"/>
          </w:tcPr>
          <w:p>
            <w:pPr>
              <w:rPr>
                <w:rFonts w:hint="eastAsia"/>
                <w:highlight w:val="none"/>
              </w:rPr>
            </w:pPr>
            <w:r>
              <w:rPr>
                <w:highlight w:val="none"/>
              </w:rPr>
              <w:t>■</w:t>
            </w:r>
            <w:r>
              <w:rPr>
                <w:rFonts w:hint="eastAsia"/>
                <w:highlight w:val="none"/>
              </w:rPr>
              <w:t>受审核方建立的管理体系文件包括</w:t>
            </w:r>
            <w:r>
              <w:rPr>
                <w:rFonts w:hint="eastAsia"/>
                <w:highlight w:val="none"/>
                <w:lang w:eastAsia="zh-CN"/>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1.管理手册</w:t>
            </w:r>
            <w:r>
              <w:rPr>
                <w:rFonts w:hint="eastAsia" w:cs="Times New Roman"/>
                <w:color w:val="auto"/>
                <w:szCs w:val="22"/>
                <w:highlight w:val="none"/>
                <w:lang w:val="en-US" w:eastAsia="zh-CN"/>
              </w:rPr>
              <w:t>XZ/</w:t>
            </w:r>
            <w:r>
              <w:rPr>
                <w:rFonts w:hint="eastAsia" w:ascii="Times New Roman" w:hAnsi="Times New Roman" w:cs="Times New Roman"/>
                <w:color w:val="auto"/>
                <w:szCs w:val="22"/>
                <w:highlight w:val="none"/>
              </w:rPr>
              <w:t>QES</w:t>
            </w:r>
            <w:r>
              <w:rPr>
                <w:rFonts w:hint="eastAsia" w:cs="Times New Roman"/>
                <w:color w:val="auto"/>
                <w:szCs w:val="22"/>
                <w:highlight w:val="none"/>
                <w:lang w:val="en-US" w:eastAsia="zh-CN"/>
              </w:rPr>
              <w:t>/SC</w:t>
            </w:r>
            <w:r>
              <w:rPr>
                <w:rFonts w:hint="eastAsia" w:ascii="Times New Roman" w:hAnsi="Times New Roman" w:cs="Times New Roman"/>
                <w:color w:val="auto"/>
                <w:szCs w:val="22"/>
                <w:highlight w:val="none"/>
              </w:rPr>
              <w:t>-2019-AO版，201</w:t>
            </w:r>
            <w:r>
              <w:rPr>
                <w:rFonts w:hint="eastAsia" w:ascii="Times New Roman" w:hAnsi="Times New Roman" w:cs="Times New Roman"/>
                <w:color w:val="auto"/>
                <w:szCs w:val="22"/>
                <w:highlight w:val="none"/>
                <w:lang w:val="en-US" w:eastAsia="zh-CN"/>
              </w:rPr>
              <w:t>9</w:t>
            </w:r>
            <w:r>
              <w:rPr>
                <w:rFonts w:hint="eastAsia" w:ascii="Times New Roman" w:hAnsi="Times New Roman" w:cs="Times New Roman"/>
                <w:color w:val="auto"/>
                <w:szCs w:val="22"/>
                <w:highlight w:val="none"/>
              </w:rPr>
              <w:t>年</w:t>
            </w:r>
            <w:r>
              <w:rPr>
                <w:rFonts w:hint="eastAsia" w:cs="Times New Roman"/>
                <w:color w:val="auto"/>
                <w:szCs w:val="22"/>
                <w:highlight w:val="none"/>
                <w:lang w:val="en-US" w:eastAsia="zh-CN"/>
              </w:rPr>
              <w:t>12</w:t>
            </w:r>
            <w:r>
              <w:rPr>
                <w:rFonts w:hint="eastAsia" w:ascii="Times New Roman" w:hAnsi="Times New Roman" w:cs="Times New Roman"/>
                <w:color w:val="auto"/>
                <w:szCs w:val="22"/>
                <w:highlight w:val="none"/>
              </w:rPr>
              <w:t>月</w:t>
            </w:r>
            <w:r>
              <w:rPr>
                <w:rFonts w:hint="eastAsia" w:cs="Times New Roman"/>
                <w:color w:val="auto"/>
                <w:szCs w:val="22"/>
                <w:highlight w:val="none"/>
                <w:lang w:val="en-US" w:eastAsia="zh-CN"/>
              </w:rPr>
              <w:t>5</w:t>
            </w:r>
            <w:r>
              <w:rPr>
                <w:rFonts w:hint="eastAsia" w:ascii="Times New Roman" w:hAnsi="Times New Roman" w:cs="Times New Roman"/>
                <w:color w:val="auto"/>
                <w:szCs w:val="22"/>
                <w:highlight w:val="none"/>
              </w:rPr>
              <w:t>日发表实施（含管理方针、目标）</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2.程序文件</w:t>
            </w:r>
            <w:r>
              <w:rPr>
                <w:rFonts w:hint="eastAsia" w:cs="Times New Roman"/>
                <w:color w:val="auto"/>
                <w:szCs w:val="22"/>
                <w:highlight w:val="none"/>
                <w:lang w:val="en-US" w:eastAsia="zh-CN"/>
              </w:rPr>
              <w:t>XZ</w:t>
            </w:r>
            <w:r>
              <w:rPr>
                <w:rFonts w:hint="eastAsia" w:ascii="Times New Roman" w:hAnsi="Times New Roman" w:cs="Times New Roman"/>
                <w:color w:val="auto"/>
                <w:szCs w:val="22"/>
                <w:highlight w:val="none"/>
              </w:rPr>
              <w:t>/</w:t>
            </w:r>
            <w:r>
              <w:rPr>
                <w:rFonts w:hint="eastAsia" w:cs="Times New Roman"/>
                <w:color w:val="auto"/>
                <w:szCs w:val="22"/>
                <w:highlight w:val="none"/>
                <w:lang w:val="en-US" w:eastAsia="zh-CN"/>
              </w:rPr>
              <w:t>QES/</w:t>
            </w:r>
            <w:r>
              <w:rPr>
                <w:rFonts w:hint="eastAsia" w:ascii="Times New Roman" w:hAnsi="Times New Roman" w:cs="Times New Roman"/>
                <w:color w:val="auto"/>
                <w:szCs w:val="22"/>
                <w:highlight w:val="none"/>
              </w:rPr>
              <w:t>CX-2019，含</w:t>
            </w:r>
            <w:r>
              <w:rPr>
                <w:rFonts w:hint="eastAsia" w:cs="Times New Roman"/>
                <w:color w:val="auto"/>
                <w:szCs w:val="22"/>
                <w:highlight w:val="none"/>
                <w:lang w:val="en-US" w:eastAsia="zh-CN"/>
              </w:rPr>
              <w:t>31</w:t>
            </w:r>
            <w:r>
              <w:rPr>
                <w:rFonts w:hint="eastAsia" w:ascii="Times New Roman" w:hAnsi="Times New Roman" w:cs="Times New Roman"/>
                <w:color w:val="auto"/>
                <w:szCs w:val="22"/>
                <w:highlight w:val="none"/>
              </w:rPr>
              <w:t>个文件，包括标准要求的程序</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3.作业文件</w:t>
            </w:r>
            <w:r>
              <w:rPr>
                <w:rFonts w:hint="eastAsia" w:cs="Times New Roman"/>
                <w:color w:val="auto"/>
                <w:szCs w:val="22"/>
                <w:highlight w:val="none"/>
                <w:lang w:val="en-US" w:eastAsia="zh-CN"/>
              </w:rPr>
              <w:t>XZ</w:t>
            </w:r>
            <w:r>
              <w:rPr>
                <w:rFonts w:hint="eastAsia"/>
                <w:sz w:val="21"/>
                <w:szCs w:val="21"/>
                <w:highlight w:val="none"/>
              </w:rPr>
              <w:t>-ZY-</w:t>
            </w:r>
            <w:r>
              <w:rPr>
                <w:rFonts w:hint="eastAsia"/>
                <w:sz w:val="21"/>
                <w:szCs w:val="21"/>
                <w:highlight w:val="none"/>
                <w:lang w:eastAsia="zh-CN"/>
              </w:rPr>
              <w:t>201</w:t>
            </w:r>
            <w:r>
              <w:rPr>
                <w:rFonts w:hint="eastAsia"/>
                <w:sz w:val="21"/>
                <w:szCs w:val="21"/>
                <w:highlight w:val="none"/>
                <w:lang w:val="en-US" w:eastAsia="zh-CN"/>
              </w:rPr>
              <w:t>9</w:t>
            </w:r>
            <w:r>
              <w:rPr>
                <w:rFonts w:hint="eastAsia"/>
                <w:sz w:val="21"/>
                <w:szCs w:val="21"/>
                <w:highlight w:val="none"/>
              </w:rPr>
              <w:t>，包括：岗位任职条件</w:t>
            </w:r>
            <w:r>
              <w:rPr>
                <w:rFonts w:hint="eastAsia"/>
                <w:sz w:val="21"/>
                <w:szCs w:val="21"/>
                <w:highlight w:val="none"/>
                <w:lang w:eastAsia="zh-CN"/>
              </w:rPr>
              <w:t>、</w:t>
            </w:r>
            <w:r>
              <w:rPr>
                <w:rFonts w:hint="eastAsia"/>
                <w:sz w:val="21"/>
                <w:szCs w:val="21"/>
                <w:highlight w:val="none"/>
              </w:rPr>
              <w:t>安全生产管理制度</w:t>
            </w:r>
            <w:r>
              <w:rPr>
                <w:rFonts w:hint="eastAsia"/>
                <w:sz w:val="21"/>
                <w:szCs w:val="21"/>
                <w:highlight w:val="none"/>
                <w:lang w:eastAsia="zh-CN"/>
              </w:rPr>
              <w:t>、</w:t>
            </w:r>
            <w:r>
              <w:rPr>
                <w:rFonts w:hint="eastAsia"/>
                <w:sz w:val="21"/>
                <w:szCs w:val="21"/>
                <w:highlight w:val="none"/>
              </w:rPr>
              <w:t>员工职业健康及劳动保护管理规定</w:t>
            </w:r>
            <w:r>
              <w:rPr>
                <w:rFonts w:hint="eastAsia"/>
                <w:sz w:val="21"/>
                <w:szCs w:val="21"/>
                <w:highlight w:val="none"/>
                <w:lang w:eastAsia="zh-CN"/>
              </w:rPr>
              <w:t>、</w:t>
            </w:r>
            <w:r>
              <w:rPr>
                <w:rFonts w:hint="eastAsia"/>
                <w:sz w:val="21"/>
                <w:szCs w:val="21"/>
                <w:highlight w:val="none"/>
              </w:rPr>
              <w:t>安全操作规程等</w:t>
            </w:r>
            <w:r>
              <w:rPr>
                <w:rFonts w:hint="eastAsia" w:ascii="Times New Roman" w:hAnsi="Times New Roman" w:cs="Times New Roman"/>
                <w:color w:val="auto"/>
                <w:szCs w:val="22"/>
                <w:highlight w:val="none"/>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4.体系运行所需要的记录</w:t>
            </w:r>
          </w:p>
          <w:p>
            <w:pPr>
              <w:rPr>
                <w:rFonts w:hint="eastAsia"/>
                <w:highlight w:val="none"/>
              </w:rPr>
            </w:pPr>
            <w:r>
              <w:rPr>
                <w:highlight w:val="none"/>
              </w:rPr>
              <w:t>■</w:t>
            </w:r>
            <w:r>
              <w:rPr>
                <w:rFonts w:hint="eastAsia"/>
                <w:highlight w:val="none"/>
              </w:rPr>
              <w:t>编制了文件控制程序，用于对管理体系文件管理</w:t>
            </w:r>
          </w:p>
          <w:p>
            <w:pPr>
              <w:rPr>
                <w:rFonts w:ascii="Times New Roman" w:hAnsi="Times New Roman" w:eastAsia="宋体" w:cs="Times New Roman"/>
                <w:kern w:val="2"/>
                <w:sz w:val="21"/>
                <w:lang w:val="en-US" w:eastAsia="zh-CN" w:bidi="ar-SA"/>
              </w:rPr>
            </w:pPr>
            <w:r>
              <w:rPr>
                <w:rFonts w:hint="eastAsia"/>
                <w:color w:val="auto"/>
                <w:highlight w:val="none"/>
              </w:rPr>
              <w:t>对外来文件进行了识</w:t>
            </w:r>
            <w:r>
              <w:rPr>
                <w:rFonts w:hint="default" w:ascii="Times New Roman" w:hAnsi="Times New Roman" w:cs="Times New Roman"/>
                <w:color w:val="auto"/>
                <w:highlight w:val="none"/>
              </w:rPr>
              <w:t>别收集，现场提供有《</w:t>
            </w:r>
            <w:r>
              <w:rPr>
                <w:rFonts w:hint="default" w:ascii="Times New Roman" w:hAnsi="Times New Roman" w:cs="Times New Roman"/>
                <w:color w:val="auto"/>
                <w:highlight w:val="none"/>
                <w:lang w:eastAsia="zh-CN"/>
              </w:rPr>
              <w:t>外来文件清单</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包括</w:t>
            </w:r>
            <w:r>
              <w:rPr>
                <w:rFonts w:hint="default" w:ascii="Times New Roman" w:hAnsi="Times New Roman" w:cs="Times New Roman"/>
                <w:sz w:val="21"/>
                <w:szCs w:val="21"/>
                <w:highlight w:val="none"/>
              </w:rPr>
              <w:t>质量法、合同法、环境保护法、劳动法、消防法、</w:t>
            </w:r>
            <w:r>
              <w:rPr>
                <w:rFonts w:hint="default" w:ascii="Times New Roman" w:hAnsi="Times New Roman" w:cs="Times New Roman"/>
                <w:sz w:val="21"/>
                <w:szCs w:val="21"/>
                <w:highlight w:val="none"/>
                <w:lang w:eastAsia="zh-CN"/>
              </w:rPr>
              <w:t>安全生产法</w:t>
            </w:r>
            <w:r>
              <w:rPr>
                <w:rFonts w:hint="default" w:ascii="Times New Roman" w:hAnsi="Times New Roman" w:cs="Times New Roman"/>
                <w:sz w:val="21"/>
                <w:szCs w:val="21"/>
                <w:highlight w:val="none"/>
                <w:lang w:val="en-US" w:eastAsia="zh-CN"/>
              </w:rPr>
              <w:t>、</w:t>
            </w:r>
            <w:r>
              <w:rPr>
                <w:rStyle w:val="7"/>
                <w:rFonts w:hint="default" w:ascii="Times New Roman" w:hAnsi="Times New Roman" w:cs="Times New Roman"/>
                <w:b w:val="0"/>
                <w:color w:val="000000"/>
                <w:szCs w:val="21"/>
                <w:highlight w:val="none"/>
              </w:rPr>
              <w:t>GB/T 3325-2008</w:t>
            </w:r>
            <w:r>
              <w:rPr>
                <w:rFonts w:hint="default" w:ascii="Times New Roman" w:hAnsi="Times New Roman" w:cs="Times New Roman"/>
                <w:sz w:val="21"/>
                <w:szCs w:val="21"/>
                <w:highlight w:val="none"/>
                <w:lang w:val="en-US" w:eastAsia="zh-CN"/>
              </w:rPr>
              <w:t>《</w:t>
            </w:r>
            <w:r>
              <w:rPr>
                <w:rFonts w:hint="default" w:ascii="Times New Roman" w:hAnsi="Times New Roman" w:cs="Times New Roman"/>
                <w:color w:val="000000"/>
                <w:szCs w:val="21"/>
                <w:highlight w:val="none"/>
              </w:rPr>
              <w:t>金属家具通用技术条件</w:t>
            </w:r>
            <w:r>
              <w:rPr>
                <w:rFonts w:hint="default" w:ascii="Times New Roman" w:hAnsi="Times New Roman" w:cs="Times New Roman"/>
                <w:color w:val="000000"/>
                <w:szCs w:val="21"/>
                <w:highlight w:val="none"/>
                <w:lang w:eastAsia="zh-CN"/>
              </w:rPr>
              <w:t>》、</w:t>
            </w:r>
            <w:r>
              <w:rPr>
                <w:rFonts w:hint="default" w:ascii="Times New Roman" w:hAnsi="Times New Roman" w:cs="Times New Roman"/>
                <w:sz w:val="21"/>
                <w:szCs w:val="21"/>
                <w:highlight w:val="none"/>
                <w:lang w:val="en-US" w:eastAsia="zh-CN"/>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19001-2016《质量管理体系 要求》、</w:t>
            </w:r>
            <w:r>
              <w:rPr>
                <w:rFonts w:hint="default" w:ascii="Times New Roman" w:hAnsi="Times New Roman" w:cs="Times New Roman"/>
                <w:sz w:val="21"/>
                <w:szCs w:val="21"/>
                <w:highlight w:val="none"/>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rPr>
              <w:t>24001-2016《环境管理体系 要求及使用指南》、GB/T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45001</w:t>
            </w:r>
            <w:r>
              <w:rPr>
                <w:rFonts w:hint="default" w:ascii="Times New Roman" w:hAnsi="Times New Roman" w:cs="Times New Roman"/>
                <w:sz w:val="21"/>
                <w:szCs w:val="21"/>
                <w:highlight w:val="none"/>
              </w:rPr>
              <w:t>-20</w:t>
            </w:r>
            <w:r>
              <w:rPr>
                <w:rFonts w:hint="eastAsia" w:cs="Times New Roman"/>
                <w:sz w:val="21"/>
                <w:szCs w:val="21"/>
                <w:highlight w:val="none"/>
                <w:lang w:val="en-US" w:eastAsia="zh-CN"/>
              </w:rPr>
              <w:t>20</w:t>
            </w:r>
            <w:r>
              <w:rPr>
                <w:rFonts w:hint="default" w:ascii="Times New Roman" w:hAnsi="Times New Roman" w:cs="Times New Roman"/>
                <w:sz w:val="21"/>
                <w:szCs w:val="21"/>
                <w:highlight w:val="none"/>
              </w:rPr>
              <w:t>《职业健康安全管理体系 要求及使用指南》</w:t>
            </w:r>
            <w:r>
              <w:rPr>
                <w:rFonts w:hint="default" w:ascii="Times New Roman" w:hAnsi="Times New Roman" w:cs="Times New Roman"/>
                <w:highlight w:val="none"/>
              </w:rPr>
              <w:t>等法规</w:t>
            </w:r>
            <w:r>
              <w:rPr>
                <w:rFonts w:hint="default" w:ascii="Times New Roman" w:hAnsi="Times New Roman" w:cs="Times New Roman"/>
                <w:highlight w:val="none"/>
                <w:lang w:eastAsia="zh-CN"/>
              </w:rPr>
              <w:t>要求。</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rPr>
              <w:t>环境因素识别评价程序的充分性、适宜性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6.1.</w:t>
            </w:r>
            <w:r>
              <w:rPr>
                <w:rFonts w:hint="eastAsia" w:cs="Times New Roman"/>
                <w:kern w:val="2"/>
                <w:sz w:val="21"/>
                <w:lang w:val="en-US" w:eastAsia="zh-CN" w:bidi="ar-SA"/>
              </w:rPr>
              <w:t>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策划、编制了《环境因素识别与评价控制程序</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，经文审符合标准要求</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表》，其中包括办公区、生产区等，包括固废排放、火灾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能源的消耗、焊烟排放、</w:t>
            </w:r>
            <w:r>
              <w:rPr>
                <w:rFonts w:hint="default" w:ascii="Times New Roman" w:hAnsi="Times New Roman" w:cs="Times New Roman"/>
                <w:sz w:val="21"/>
                <w:szCs w:val="21"/>
                <w:highlight w:val="none"/>
              </w:rPr>
              <w:t>废气排放、噪声排放等。</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可以提供《重要环境因素清单》，其中重要环境因素：</w:t>
            </w:r>
            <w:r>
              <w:rPr>
                <w:rFonts w:hint="default" w:ascii="Times New Roman" w:hAnsi="Times New Roman" w:cs="Times New Roman"/>
                <w:sz w:val="21"/>
                <w:szCs w:val="21"/>
                <w:highlight w:val="none"/>
                <w:lang w:val="en-US" w:eastAsia="zh-CN"/>
              </w:rPr>
              <w:t>废气的排放</w:t>
            </w:r>
            <w:r>
              <w:rPr>
                <w:rFonts w:hint="default" w:ascii="Times New Roman" w:hAnsi="Times New Roman" w:cs="Times New Roman"/>
                <w:sz w:val="21"/>
                <w:szCs w:val="21"/>
                <w:highlight w:val="none"/>
              </w:rPr>
              <w:t>、固体废弃物排放、噪声排放、火灾的发生，评价准确</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w:t>
            </w:r>
            <w:r>
              <w:rPr>
                <w:rFonts w:hint="eastAsia"/>
                <w:highlight w:val="none"/>
              </w:rPr>
              <w:t>目标指标的合理性，管理方案的可行性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6.2.2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环境目标、指标、管理方案：抽目标指标：废弃物100%分类堆放处置</w:t>
            </w:r>
          </w:p>
          <w:p>
            <w:pPr>
              <w:rPr>
                <w:rFonts w:hint="eastAsia"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管理方案：1.建立并完善环境管理制度，将与责任分解落实，并对目标的实现情况进行监督检查；2.对工作人员进行教育培训，增强员工的环保意识和技术水平；3.购备垃圾箱，及时回收，分类堆放；</w:t>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与销售商或厂家联系，力争使废物能再生或重新利用</w:t>
            </w:r>
            <w:r>
              <w:rPr>
                <w:rFonts w:hint="eastAsia" w:cs="Times New Roman"/>
                <w:sz w:val="21"/>
                <w:szCs w:val="21"/>
                <w:highlight w:val="none"/>
                <w:lang w:eastAsia="zh-CN"/>
              </w:rPr>
              <w:t>。</w:t>
            </w:r>
          </w:p>
          <w:p>
            <w:pP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责任部</w:t>
            </w:r>
            <w:r>
              <w:rPr>
                <w:rFonts w:hint="eastAsia" w:cs="Times New Roman"/>
                <w:sz w:val="21"/>
                <w:szCs w:val="21"/>
                <w:highlight w:val="none"/>
                <w:lang w:eastAsia="zh-CN"/>
              </w:rPr>
              <w:t>：各部门</w:t>
            </w:r>
            <w:r>
              <w:rPr>
                <w:rFonts w:hint="default" w:ascii="Times New Roman" w:hAnsi="Times New Roman" w:cs="Times New Roman"/>
                <w:sz w:val="21"/>
                <w:szCs w:val="21"/>
                <w:highlight w:val="none"/>
              </w:rPr>
              <w:t>，费用：</w:t>
            </w:r>
            <w:r>
              <w:rPr>
                <w:rFonts w:hint="eastAsia" w:cs="Times New Roman"/>
                <w:sz w:val="21"/>
                <w:szCs w:val="21"/>
                <w:highlight w:val="none"/>
                <w:lang w:val="en-US" w:eastAsia="zh-CN"/>
              </w:rPr>
              <w:t>2000</w:t>
            </w:r>
            <w:r>
              <w:rPr>
                <w:rFonts w:hint="default" w:ascii="Times New Roman" w:hAnsi="Times New Roman" w:cs="Times New Roman"/>
                <w:sz w:val="21"/>
                <w:szCs w:val="21"/>
                <w:highlight w:val="none"/>
              </w:rPr>
              <w:t>元，起止时间：201</w:t>
            </w:r>
            <w:r>
              <w:rPr>
                <w:rFonts w:hint="eastAsia" w:ascii="Times New Roman" w:hAnsi="Times New Roman" w:cs="Times New Roman"/>
                <w:sz w:val="21"/>
                <w:szCs w:val="21"/>
                <w:highlight w:val="none"/>
                <w:lang w:val="en-US" w:eastAsia="zh-CN"/>
              </w:rPr>
              <w:t>9.</w:t>
            </w:r>
            <w:r>
              <w:rPr>
                <w:rFonts w:hint="eastAsia" w:cs="Times New Roman"/>
                <w:sz w:val="21"/>
                <w:szCs w:val="21"/>
                <w:highlight w:val="none"/>
                <w:lang w:val="en-US" w:eastAsia="zh-CN"/>
              </w:rPr>
              <w:t>12</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2020.3</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共根据识别的重要环境因素策划管理方案4个</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同上，基本符合标准要求、可行。</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在方针框架下展开，并分解到各职能部门。</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办公室负责编制方案，并监督、验证实施进度。</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各部门负责目标、指标与方案的具体实施。</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6" w:type="dxa"/>
            <w:vAlign w:val="top"/>
          </w:tcPr>
          <w:p>
            <w:pPr>
              <w:rPr>
                <w:rFonts w:hint="eastAsia" w:ascii="Times New Roman" w:hAnsi="Times New Roman" w:eastAsia="宋体" w:cs="Times New Roman"/>
                <w:kern w:val="2"/>
                <w:sz w:val="21"/>
                <w:lang w:val="en-US" w:eastAsia="zh-CN" w:bidi="ar-SA"/>
              </w:rPr>
            </w:pPr>
            <w:r>
              <w:rPr>
                <w:rFonts w:hint="eastAsia"/>
                <w:lang w:eastAsia="zh-CN"/>
              </w:rPr>
              <w:t>应急准备和响应</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8.2</w:t>
            </w:r>
          </w:p>
        </w:tc>
        <w:tc>
          <w:tcPr>
            <w:tcW w:w="11164" w:type="dxa"/>
            <w:vAlign w:val="top"/>
          </w:tcPr>
          <w:p>
            <w:pPr>
              <w:rPr>
                <w:rFonts w:hint="eastAsia"/>
                <w:sz w:val="21"/>
                <w:szCs w:val="21"/>
              </w:rPr>
            </w:pPr>
            <w:r>
              <w:rPr>
                <w:rFonts w:hint="eastAsia"/>
                <w:sz w:val="21"/>
                <w:szCs w:val="21"/>
              </w:rPr>
              <w:t>策划了《应急准备和响应控制程序》</w:t>
            </w:r>
          </w:p>
          <w:p>
            <w:pPr>
              <w:rPr>
                <w:rFonts w:hint="eastAsia" w:ascii="Times New Roman" w:hAnsi="Times New Roman" w:eastAsia="宋体" w:cs="Times New Roman"/>
                <w:kern w:val="2"/>
                <w:sz w:val="21"/>
                <w:lang w:val="en-US" w:eastAsia="zh-CN" w:bidi="ar-SA"/>
              </w:rPr>
            </w:pPr>
            <w:r>
              <w:rPr>
                <w:rFonts w:hint="eastAsia"/>
                <w:sz w:val="21"/>
                <w:szCs w:val="21"/>
              </w:rPr>
              <w:t>提供应急预案：针对包括火灾事故应急预案</w:t>
            </w:r>
            <w:bookmarkStart w:id="0" w:name="_GoBack"/>
            <w:bookmarkEnd w:id="0"/>
          </w:p>
        </w:tc>
        <w:tc>
          <w:tcPr>
            <w:tcW w:w="928" w:type="dxa"/>
          </w:tc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生产部/质检部      </w:t>
            </w:r>
            <w:r>
              <w:rPr>
                <w:rFonts w:hint="eastAsia"/>
                <w:sz w:val="24"/>
                <w:szCs w:val="24"/>
              </w:rPr>
              <w:t>主管领导</w:t>
            </w:r>
            <w:r>
              <w:rPr>
                <w:rFonts w:hint="eastAsia"/>
                <w:sz w:val="24"/>
                <w:szCs w:val="24"/>
                <w:lang w:eastAsia="zh-CN"/>
              </w:rPr>
              <w:t>：</w:t>
            </w:r>
            <w:r>
              <w:rPr>
                <w:rFonts w:hint="eastAsia" w:cs="宋体"/>
                <w:sz w:val="24"/>
                <w:szCs w:val="24"/>
                <w:lang w:val="en-US" w:eastAsia="zh-CN"/>
              </w:rPr>
              <w:t>金宝珠/庄文龙</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朱晓丽、张星            </w:t>
            </w:r>
            <w:r>
              <w:rPr>
                <w:rFonts w:hint="eastAsia"/>
                <w:sz w:val="24"/>
                <w:szCs w:val="24"/>
              </w:rPr>
              <w:t>审核时间：</w:t>
            </w:r>
            <w:r>
              <w:rPr>
                <w:rFonts w:hint="eastAsia"/>
                <w:sz w:val="24"/>
                <w:szCs w:val="24"/>
                <w:lang w:val="en-US" w:eastAsia="zh-CN"/>
              </w:rPr>
              <w:t>2020.4.20</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Q7.1.3/7.1.4/7.1.5/；E6.1.2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r>
              <w:rPr>
                <w:rFonts w:hint="eastAsia"/>
              </w:rPr>
              <w:t>基础设施</w:t>
            </w:r>
          </w:p>
          <w:p>
            <w:pPr>
              <w:rPr>
                <w:rFonts w:hint="eastAsia"/>
              </w:rPr>
            </w:pPr>
            <w:r>
              <w:rPr>
                <w:rFonts w:hint="eastAsia"/>
              </w:rPr>
              <w:t>工作环境</w:t>
            </w:r>
          </w:p>
          <w:p>
            <w:pPr>
              <w:rPr>
                <w:rFonts w:hint="default" w:ascii="Times New Roman" w:hAnsi="Times New Roman" w:cs="Times New Roman"/>
                <w:kern w:val="2"/>
                <w:sz w:val="21"/>
                <w:lang w:val="en-US" w:eastAsia="zh-CN" w:bidi="ar-SA"/>
              </w:rPr>
            </w:pPr>
            <w:r>
              <w:rPr>
                <w:rFonts w:hint="eastAsia"/>
                <w:lang w:eastAsia="zh-CN"/>
              </w:rPr>
              <w:t>监视设备</w:t>
            </w:r>
          </w:p>
        </w:tc>
        <w:tc>
          <w:tcPr>
            <w:tcW w:w="991" w:type="dxa"/>
            <w:vAlign w:val="top"/>
          </w:tcPr>
          <w:p>
            <w:pPr>
              <w:rPr>
                <w:rFonts w:hint="eastAsia"/>
                <w:sz w:val="21"/>
                <w:szCs w:val="21"/>
              </w:rPr>
            </w:pPr>
            <w:r>
              <w:rPr>
                <w:rFonts w:hint="eastAsia"/>
                <w:sz w:val="21"/>
                <w:szCs w:val="21"/>
              </w:rPr>
              <w:t>Q</w:t>
            </w:r>
          </w:p>
          <w:p>
            <w:pPr>
              <w:rPr>
                <w:rFonts w:hint="eastAsia"/>
                <w:sz w:val="21"/>
                <w:szCs w:val="21"/>
              </w:rPr>
            </w:pPr>
            <w:r>
              <w:rPr>
                <w:rFonts w:hint="eastAsia"/>
                <w:sz w:val="21"/>
                <w:szCs w:val="21"/>
              </w:rPr>
              <w:t>7.1.3</w:t>
            </w:r>
          </w:p>
          <w:p>
            <w:pPr>
              <w:rPr>
                <w:rFonts w:hint="eastAsia"/>
                <w:sz w:val="21"/>
                <w:szCs w:val="21"/>
              </w:rPr>
            </w:pPr>
            <w:r>
              <w:rPr>
                <w:rFonts w:hint="eastAsia"/>
                <w:sz w:val="21"/>
                <w:szCs w:val="21"/>
              </w:rPr>
              <w:t>7.1.4</w:t>
            </w:r>
          </w:p>
          <w:p>
            <w:pPr>
              <w:rPr>
                <w:rFonts w:hint="default" w:eastAsia="宋体"/>
                <w:sz w:val="21"/>
                <w:szCs w:val="21"/>
                <w:lang w:val="en-US" w:eastAsia="zh-CN"/>
              </w:rPr>
            </w:pPr>
            <w:r>
              <w:rPr>
                <w:rFonts w:hint="eastAsia"/>
                <w:sz w:val="21"/>
                <w:szCs w:val="21"/>
              </w:rPr>
              <w:t>7.1.5</w:t>
            </w:r>
          </w:p>
        </w:tc>
        <w:tc>
          <w:tcPr>
            <w:tcW w:w="11164" w:type="dxa"/>
            <w:vAlign w:val="top"/>
          </w:tcPr>
          <w:p>
            <w:pPr>
              <w:rPr>
                <w:rFonts w:hint="eastAsia"/>
                <w:sz w:val="21"/>
                <w:szCs w:val="21"/>
                <w:lang w:eastAsia="zh-CN"/>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sz w:val="21"/>
                <w:szCs w:val="21"/>
                <w:lang w:val="en-US" w:eastAsia="zh-CN"/>
              </w:rPr>
              <w:t>抛丸机、静电喷涂设备、焊机、切管机、冲压机</w:t>
            </w:r>
            <w:r>
              <w:rPr>
                <w:rFonts w:hint="eastAsia"/>
                <w:sz w:val="21"/>
                <w:szCs w:val="21"/>
                <w:lang w:eastAsia="zh-CN"/>
              </w:rPr>
              <w:t>、</w:t>
            </w:r>
            <w:r>
              <w:rPr>
                <w:rFonts w:hint="eastAsia"/>
                <w:sz w:val="21"/>
                <w:szCs w:val="21"/>
                <w:lang w:val="en-US" w:eastAsia="zh-CN"/>
              </w:rPr>
              <w:t>喷漆房</w:t>
            </w:r>
            <w:r>
              <w:rPr>
                <w:rFonts w:hint="eastAsia"/>
                <w:sz w:val="21"/>
                <w:szCs w:val="21"/>
              </w:rPr>
              <w:t>，满足</w:t>
            </w:r>
            <w:r>
              <w:rPr>
                <w:rFonts w:hint="eastAsia"/>
                <w:sz w:val="21"/>
                <w:szCs w:val="21"/>
                <w:lang w:eastAsia="zh-CN"/>
              </w:rPr>
              <w:t>生产</w:t>
            </w:r>
            <w:r>
              <w:rPr>
                <w:rFonts w:hint="eastAsia"/>
                <w:sz w:val="21"/>
                <w:szCs w:val="21"/>
              </w:rPr>
              <w:t>需求。</w:t>
            </w:r>
          </w:p>
          <w:p>
            <w:pPr>
              <w:rPr>
                <w:rFonts w:hint="eastAsia"/>
                <w:sz w:val="21"/>
                <w:szCs w:val="21"/>
              </w:rPr>
            </w:pPr>
            <w:r>
              <w:rPr>
                <w:rFonts w:hint="eastAsia"/>
                <w:sz w:val="21"/>
                <w:szCs w:val="21"/>
                <w:lang w:eastAsia="zh-CN"/>
              </w:rPr>
              <w:t>生产车间</w:t>
            </w:r>
            <w:r>
              <w:rPr>
                <w:rFonts w:hint="eastAsia"/>
                <w:sz w:val="21"/>
                <w:szCs w:val="21"/>
                <w:lang w:val="en-US" w:eastAsia="zh-CN"/>
              </w:rPr>
              <w:t>面积2000平米，</w:t>
            </w:r>
            <w:r>
              <w:rPr>
                <w:rFonts w:hint="eastAsia"/>
                <w:sz w:val="21"/>
                <w:szCs w:val="21"/>
                <w:lang w:eastAsia="zh-CN"/>
              </w:rPr>
              <w:t>工序布局合理，场所卫生干净整洁，配有通风设施，工作环境良好</w:t>
            </w:r>
            <w:r>
              <w:rPr>
                <w:rFonts w:hint="eastAsia"/>
                <w:sz w:val="21"/>
                <w:szCs w:val="21"/>
              </w:rPr>
              <w:t>。</w:t>
            </w:r>
          </w:p>
          <w:p>
            <w:pPr>
              <w:rPr>
                <w:rFonts w:ascii="Times New Roman" w:hAnsi="Times New Roman" w:eastAsia="宋体" w:cs="Times New Roman"/>
                <w:kern w:val="2"/>
                <w:sz w:val="21"/>
                <w:lang w:val="en-US" w:eastAsia="zh-CN" w:bidi="ar-SA"/>
              </w:rPr>
            </w:pPr>
            <w:r>
              <w:rPr>
                <w:rFonts w:hint="eastAsia"/>
                <w:sz w:val="21"/>
                <w:szCs w:val="21"/>
              </w:rPr>
              <w:t>主要检测设备包括：</w:t>
            </w:r>
            <w:r>
              <w:rPr>
                <w:rFonts w:hint="eastAsia"/>
                <w:sz w:val="21"/>
                <w:szCs w:val="21"/>
                <w:lang w:val="en-US" w:eastAsia="zh-CN"/>
              </w:rPr>
              <w:t>钢直尺、游标卡尺、压力表、钢卷尺、直角尺</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rPr>
              <w:t>环境因素识别评价程序的充分性、适宜性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6.1.</w:t>
            </w:r>
            <w:r>
              <w:rPr>
                <w:rFonts w:hint="eastAsia" w:cs="Times New Roman"/>
                <w:kern w:val="2"/>
                <w:sz w:val="21"/>
                <w:lang w:val="en-US" w:eastAsia="zh-CN" w:bidi="ar-SA"/>
              </w:rPr>
              <w:t>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策划、编制了《环境因素识别与评价控制程序</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，经文审符合标准要求</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表》，其中包括办公区、生产区等，包括固废排放、火灾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能源的消耗、焊烟排放、</w:t>
            </w:r>
            <w:r>
              <w:rPr>
                <w:rFonts w:hint="default" w:ascii="Times New Roman" w:hAnsi="Times New Roman" w:cs="Times New Roman"/>
                <w:sz w:val="21"/>
                <w:szCs w:val="21"/>
                <w:highlight w:val="none"/>
              </w:rPr>
              <w:t>废气排放、噪声排放等。</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可以提供《重要环境因素清单》，其中重要环境因素：</w:t>
            </w:r>
            <w:r>
              <w:rPr>
                <w:rFonts w:hint="default" w:ascii="Times New Roman" w:hAnsi="Times New Roman" w:cs="Times New Roman"/>
                <w:sz w:val="21"/>
                <w:szCs w:val="21"/>
                <w:highlight w:val="none"/>
                <w:lang w:val="en-US" w:eastAsia="zh-CN"/>
              </w:rPr>
              <w:t>废气的排放</w:t>
            </w:r>
            <w:r>
              <w:rPr>
                <w:rFonts w:hint="default" w:ascii="Times New Roman" w:hAnsi="Times New Roman" w:cs="Times New Roman"/>
                <w:sz w:val="21"/>
                <w:szCs w:val="21"/>
                <w:highlight w:val="none"/>
              </w:rPr>
              <w:t>、固体废弃物排放、噪声排放、火灾的发生，评价准确</w:t>
            </w:r>
          </w:p>
        </w:tc>
        <w:tc>
          <w:tcPr>
            <w:tcW w:w="928" w:type="dxa"/>
          </w:tcPr>
          <w:p/>
        </w:tc>
      </w:tr>
    </w:tbl>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1354F5"/>
    <w:rsid w:val="175F1452"/>
    <w:rsid w:val="2858425E"/>
    <w:rsid w:val="2BEE44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2020-04-28T14:42:21Z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