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hint="eastAsia"/>
          <w:sz w:val="24"/>
          <w:szCs w:val="24"/>
          <w:lang w:val="en-US" w:eastAsia="zh-CN"/>
        </w:rPr>
      </w:pPr>
      <w:r>
        <w:rPr>
          <w:rFonts w:hint="eastAsia"/>
          <w:sz w:val="24"/>
          <w:szCs w:val="24"/>
        </w:rPr>
        <w:t>受审核部门：</w:t>
      </w:r>
      <w:r>
        <w:rPr>
          <w:rFonts w:hint="eastAsia"/>
          <w:sz w:val="24"/>
          <w:szCs w:val="24"/>
          <w:lang w:eastAsia="zh-CN"/>
        </w:rPr>
        <w:t>管理层、生技部、供销部、行政部</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w:t>
      </w:r>
      <w:r>
        <w:rPr>
          <w:rFonts w:hint="eastAsia"/>
          <w:sz w:val="24"/>
          <w:szCs w:val="24"/>
          <w:lang w:val="en-US" w:eastAsia="zh-CN"/>
        </w:rPr>
        <w:t xml:space="preserve">  </w:t>
      </w:r>
      <w:r>
        <w:rPr>
          <w:rFonts w:hint="eastAsia"/>
          <w:sz w:val="24"/>
          <w:szCs w:val="24"/>
        </w:rPr>
        <w:t>审核员：</w:t>
      </w:r>
      <w:r>
        <w:rPr>
          <w:rFonts w:hint="eastAsia"/>
          <w:sz w:val="24"/>
          <w:szCs w:val="24"/>
          <w:lang w:eastAsia="zh-CN"/>
        </w:rPr>
        <w:t>张心</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2020.4.13</w:t>
      </w:r>
    </w:p>
    <w:tbl>
      <w:tblPr>
        <w:tblStyle w:val="6"/>
        <w:tblW w:w="153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9914"/>
        <w:gridCol w:w="105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034"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9914"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1050"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1305"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3" w:hRule="atLeast"/>
        </w:trPr>
        <w:tc>
          <w:tcPr>
            <w:tcW w:w="3034"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9914" w:type="dxa"/>
            <w:noWrap w:val="0"/>
            <w:vAlign w:val="top"/>
          </w:tcPr>
          <w:p>
            <w:pPr>
              <w:spacing w:line="400" w:lineRule="exact"/>
              <w:ind w:firstLine="420" w:firstLineChars="200"/>
              <w:rPr>
                <w:rFonts w:hint="eastAsia" w:ascii="宋体" w:hAnsi="宋体"/>
                <w:sz w:val="21"/>
                <w:szCs w:val="21"/>
                <w:lang w:val="en-US" w:eastAsia="zh-CN"/>
              </w:rPr>
            </w:pPr>
            <w:bookmarkStart w:id="0" w:name="组织名称"/>
            <w:r>
              <w:rPr>
                <w:rFonts w:hint="eastAsia" w:ascii="宋体" w:hAnsi="宋体"/>
                <w:sz w:val="21"/>
                <w:szCs w:val="21"/>
                <w:lang w:val="en-US" w:eastAsia="zh-CN"/>
              </w:rPr>
              <w:t>重庆市荣岳橡胶制品有限公司</w:t>
            </w:r>
            <w:bookmarkEnd w:id="0"/>
            <w:r>
              <w:rPr>
                <w:rFonts w:hint="eastAsia" w:ascii="宋体" w:hAnsi="宋体"/>
                <w:sz w:val="21"/>
                <w:szCs w:val="21"/>
                <w:lang w:val="en-US" w:eastAsia="zh-CN"/>
              </w:rPr>
              <w:t>是一家专业从事</w:t>
            </w:r>
            <w:bookmarkStart w:id="1" w:name="审核范围"/>
            <w:r>
              <w:rPr>
                <w:rFonts w:hint="eastAsia" w:ascii="宋体" w:hAnsi="宋体"/>
                <w:sz w:val="21"/>
                <w:szCs w:val="21"/>
                <w:lang w:val="en-US" w:eastAsia="zh-CN"/>
              </w:rPr>
              <w:t>橡胶制品的加工</w:t>
            </w:r>
            <w:bookmarkEnd w:id="1"/>
            <w:r>
              <w:rPr>
                <w:rFonts w:hint="eastAsia" w:ascii="宋体" w:hAnsi="宋体"/>
                <w:sz w:val="21"/>
                <w:szCs w:val="21"/>
                <w:lang w:val="en-US" w:eastAsia="zh-CN"/>
              </w:rPr>
              <w:t>的公司。产品主要为汽车，摩托车加工橡胶垫圈、密封圈、缓冲垫等零部件。公司成立于2013年1月，坐落</w:t>
            </w:r>
            <w:r>
              <w:rPr>
                <w:rFonts w:hint="eastAsia" w:ascii="宋体" w:hAnsi="宋体"/>
                <w:sz w:val="21"/>
                <w:szCs w:val="21"/>
                <w:lang w:val="de-DE" w:eastAsia="zh-CN"/>
              </w:rPr>
              <w:t>于</w:t>
            </w:r>
            <w:bookmarkStart w:id="2" w:name="生产地址"/>
            <w:r>
              <w:rPr>
                <w:rFonts w:hint="eastAsia" w:ascii="宋体" w:hAnsi="宋体"/>
                <w:sz w:val="21"/>
                <w:szCs w:val="21"/>
                <w:lang w:val="en-US" w:eastAsia="zh-CN"/>
              </w:rPr>
              <w:t>重庆市大渡口区八桥镇互助村二社</w:t>
            </w:r>
            <w:bookmarkEnd w:id="2"/>
            <w:r>
              <w:rPr>
                <w:rFonts w:hint="eastAsia" w:ascii="宋体" w:hAnsi="宋体"/>
                <w:sz w:val="21"/>
                <w:szCs w:val="21"/>
                <w:lang w:val="en-US" w:eastAsia="zh-CN"/>
              </w:rPr>
              <w:t>，生产经营状况良好。</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经远程视频核实该公司目前成立</w:t>
            </w:r>
            <w:r>
              <w:rPr>
                <w:rFonts w:hint="eastAsia" w:ascii="宋体" w:hAnsi="宋体" w:cs="Times New Roman"/>
                <w:sz w:val="21"/>
                <w:szCs w:val="21"/>
                <w:lang w:eastAsia="zh-CN"/>
              </w:rPr>
              <w:t>了三个部门：生技部、供销部、行政部  抽查：组</w:t>
            </w:r>
            <w:r>
              <w:rPr>
                <w:rFonts w:hint="eastAsia" w:ascii="宋体" w:hAnsi="宋体"/>
                <w:sz w:val="21"/>
                <w:szCs w:val="21"/>
                <w:lang w:eastAsia="zh-CN"/>
              </w:rPr>
              <w:t>织机构图、职能分配表、职责描述，基本保持一致。</w:t>
            </w:r>
          </w:p>
          <w:p>
            <w:pPr>
              <w:spacing w:line="400" w:lineRule="exact"/>
              <w:ind w:firstLine="420" w:firstLineChars="200"/>
              <w:rPr>
                <w:rFonts w:hint="eastAsia" w:ascii="宋体" w:hAnsi="宋体" w:cs="Times New Roman"/>
                <w:sz w:val="21"/>
                <w:szCs w:val="21"/>
                <w:lang w:eastAsia="zh-CN"/>
              </w:rPr>
            </w:pPr>
            <w:r>
              <w:rPr>
                <w:rFonts w:hint="eastAsia" w:ascii="宋体" w:hAnsi="宋体"/>
                <w:sz w:val="21"/>
                <w:szCs w:val="21"/>
                <w:lang w:eastAsia="zh-CN"/>
              </w:rPr>
              <w:t>视频与负责人沟通</w:t>
            </w:r>
            <w:r>
              <w:rPr>
                <w:rFonts w:hint="eastAsia" w:ascii="宋体" w:hAnsi="宋体"/>
                <w:sz w:val="21"/>
                <w:szCs w:val="21"/>
              </w:rPr>
              <w:t>核实：生产经营</w:t>
            </w:r>
            <w:r>
              <w:rPr>
                <w:rFonts w:hint="eastAsia" w:ascii="宋体" w:hAnsi="宋体" w:cs="Times New Roman"/>
                <w:sz w:val="21"/>
                <w:szCs w:val="21"/>
                <w:lang w:eastAsia="zh-CN"/>
              </w:rPr>
              <w:t>场所为重庆市大渡口区八桥镇互助村二社，与任务书一致。</w:t>
            </w:r>
          </w:p>
          <w:p>
            <w:pPr>
              <w:spacing w:line="400" w:lineRule="exact"/>
              <w:ind w:firstLine="420" w:firstLineChars="200"/>
              <w:rPr>
                <w:rFonts w:hint="eastAsia" w:ascii="宋体" w:hAnsi="宋体"/>
                <w:sz w:val="21"/>
                <w:szCs w:val="21"/>
              </w:rPr>
            </w:pPr>
            <w:r>
              <w:rPr>
                <w:rFonts w:hint="eastAsia" w:ascii="宋体" w:hAnsi="宋体"/>
                <w:sz w:val="21"/>
                <w:szCs w:val="21"/>
              </w:rPr>
              <w:t>经确认认证范围为：</w:t>
            </w:r>
            <w:r>
              <w:rPr>
                <w:rFonts w:hint="eastAsia" w:ascii="宋体" w:hAnsi="宋体"/>
                <w:szCs w:val="21"/>
              </w:rPr>
              <w:t xml:space="preserve">橡胶制品的加工 </w:t>
            </w:r>
            <w:r>
              <w:rPr>
                <w:rFonts w:hint="eastAsia" w:ascii="宋体" w:hAnsi="宋体"/>
                <w:sz w:val="21"/>
                <w:szCs w:val="21"/>
              </w:rPr>
              <w:t>，与任务书一致。</w:t>
            </w:r>
          </w:p>
          <w:p>
            <w:pPr>
              <w:spacing w:line="400" w:lineRule="exact"/>
              <w:ind w:firstLine="420" w:firstLineChars="200"/>
              <w:rPr>
                <w:rFonts w:hint="eastAsia" w:ascii="宋体" w:hAnsi="宋体"/>
                <w:sz w:val="21"/>
                <w:szCs w:val="21"/>
              </w:rPr>
            </w:pPr>
            <w:r>
              <w:rPr>
                <w:rFonts w:hint="eastAsia" w:ascii="宋体" w:hAnsi="宋体"/>
                <w:sz w:val="21"/>
                <w:szCs w:val="21"/>
              </w:rPr>
              <w:t>询问，主要设备为</w:t>
            </w:r>
            <w:r>
              <w:rPr>
                <w:rFonts w:hint="eastAsia" w:ascii="宋体" w:hAnsi="宋体"/>
                <w:sz w:val="21"/>
                <w:szCs w:val="21"/>
                <w:lang w:eastAsia="zh-CN"/>
              </w:rPr>
              <w:t>：</w:t>
            </w:r>
            <w:r>
              <w:rPr>
                <w:rFonts w:hint="eastAsia" w:ascii="宋体" w:hAnsi="宋体"/>
                <w:sz w:val="21"/>
                <w:szCs w:val="21"/>
                <w:lang w:val="en-US" w:eastAsia="zh-CN"/>
              </w:rPr>
              <w:t>电脑及办公设备、密炼机、开炼机、切胶机、平板硫化机、真空硫化机等</w:t>
            </w:r>
            <w:r>
              <w:rPr>
                <w:rFonts w:hint="eastAsia" w:ascii="宋体" w:hAnsi="宋体"/>
                <w:sz w:val="21"/>
                <w:szCs w:val="21"/>
              </w:rPr>
              <w:t>。</w:t>
            </w:r>
            <w:r>
              <w:rPr>
                <w:rFonts w:hint="eastAsia" w:ascii="宋体" w:hAnsi="宋体"/>
                <w:sz w:val="21"/>
                <w:szCs w:val="21"/>
                <w:lang w:val="en-US" w:eastAsia="zh-CN"/>
              </w:rPr>
              <w:t xml:space="preserve">关键过程:炼胶过程，特殊过程：硫化成型过程  无外包过程  </w:t>
            </w:r>
            <w:r>
              <w:rPr>
                <w:rFonts w:hint="eastAsia" w:ascii="宋体" w:hAnsi="宋体"/>
                <w:sz w:val="21"/>
                <w:szCs w:val="21"/>
              </w:rPr>
              <w:t>理体系运行时间：</w:t>
            </w:r>
            <w:r>
              <w:rPr>
                <w:rFonts w:hint="eastAsia" w:ascii="宋体" w:hAnsi="宋体"/>
                <w:sz w:val="21"/>
                <w:szCs w:val="21"/>
                <w:lang w:eastAsia="zh-CN"/>
              </w:rPr>
              <w:t>2019</w:t>
            </w:r>
            <w:r>
              <w:rPr>
                <w:rFonts w:hint="eastAsia" w:ascii="宋体" w:hAnsi="宋体"/>
                <w:sz w:val="21"/>
                <w:szCs w:val="21"/>
              </w:rPr>
              <w:t>年</w:t>
            </w:r>
            <w:r>
              <w:rPr>
                <w:rFonts w:hint="eastAsia" w:ascii="宋体" w:hAnsi="宋体"/>
                <w:sz w:val="21"/>
                <w:szCs w:val="21"/>
                <w:lang w:eastAsia="zh-CN"/>
              </w:rPr>
              <w:t>11</w:t>
            </w:r>
            <w:r>
              <w:rPr>
                <w:rFonts w:hint="eastAsia" w:ascii="宋体" w:hAnsi="宋体"/>
                <w:sz w:val="21"/>
                <w:szCs w:val="21"/>
              </w:rPr>
              <w:t>月</w:t>
            </w:r>
            <w:r>
              <w:rPr>
                <w:rFonts w:hint="eastAsia" w:ascii="宋体" w:hAnsi="宋体"/>
                <w:sz w:val="21"/>
                <w:szCs w:val="21"/>
                <w:lang w:eastAsia="zh-CN"/>
              </w:rPr>
              <w:t>01</w:t>
            </w:r>
            <w:r>
              <w:rPr>
                <w:rFonts w:hint="eastAsia" w:ascii="宋体" w:hAnsi="宋体"/>
                <w:sz w:val="21"/>
                <w:szCs w:val="21"/>
              </w:rPr>
              <w:t>日。</w:t>
            </w:r>
          </w:p>
          <w:p>
            <w:pPr>
              <w:spacing w:line="400" w:lineRule="exact"/>
              <w:ind w:firstLine="420" w:firstLineChars="200"/>
              <w:rPr>
                <w:rFonts w:hint="eastAsia" w:ascii="宋体" w:hAnsi="宋体" w:cs="Times New Roman"/>
                <w:sz w:val="21"/>
                <w:szCs w:val="21"/>
              </w:rPr>
            </w:pPr>
            <w:r>
              <w:rPr>
                <w:rFonts w:hint="eastAsia" w:ascii="宋体" w:hAnsi="宋体"/>
                <w:sz w:val="21"/>
                <w:szCs w:val="21"/>
              </w:rPr>
              <w:t>组织实际与管理体系文件化信息描述基本一致。有管理层、</w:t>
            </w:r>
            <w:r>
              <w:rPr>
                <w:rFonts w:hint="eastAsia" w:ascii="宋体" w:hAnsi="宋体"/>
                <w:sz w:val="21"/>
                <w:szCs w:val="21"/>
                <w:lang w:eastAsia="zh-CN"/>
              </w:rPr>
              <w:t>生技</w:t>
            </w:r>
            <w:r>
              <w:rPr>
                <w:rFonts w:hint="eastAsia" w:ascii="宋体" w:hAnsi="宋体" w:cs="Times New Roman"/>
                <w:sz w:val="21"/>
                <w:szCs w:val="21"/>
                <w:lang w:eastAsia="zh-CN"/>
              </w:rPr>
              <w:t>部、供销部、行政部</w:t>
            </w:r>
          </w:p>
          <w:p>
            <w:pPr>
              <w:spacing w:line="400" w:lineRule="exact"/>
              <w:ind w:firstLine="420" w:firstLineChars="200"/>
              <w:rPr>
                <w:rFonts w:hint="eastAsia" w:ascii="宋体" w:hAnsi="宋体"/>
                <w:sz w:val="21"/>
                <w:szCs w:val="21"/>
              </w:rPr>
            </w:pPr>
            <w:r>
              <w:rPr>
                <w:rFonts w:hint="eastAsia" w:ascii="宋体" w:hAnsi="宋体"/>
                <w:sz w:val="21"/>
                <w:szCs w:val="21"/>
              </w:rPr>
              <w:t>产品流程见《工艺流程》</w:t>
            </w:r>
          </w:p>
          <w:p>
            <w:pPr>
              <w:spacing w:line="400" w:lineRule="exact"/>
              <w:ind w:firstLine="420" w:firstLineChars="200"/>
              <w:rPr>
                <w:rFonts w:hint="eastAsia"/>
                <w:sz w:val="21"/>
                <w:szCs w:val="21"/>
              </w:rPr>
            </w:pPr>
            <w:r>
              <w:rPr>
                <w:rFonts w:hint="eastAsia" w:ascii="宋体" w:hAnsi="宋体"/>
                <w:sz w:val="21"/>
                <w:szCs w:val="21"/>
              </w:rPr>
              <w:t>查，管理体系文件名称：质量手册，程序文件。</w:t>
            </w:r>
          </w:p>
        </w:tc>
        <w:tc>
          <w:tcPr>
            <w:tcW w:w="1050"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hint="eastAsia"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tc>
        <w:tc>
          <w:tcPr>
            <w:tcW w:w="1305"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3034" w:type="dxa"/>
            <w:noWrap w:val="0"/>
            <w:vAlign w:val="top"/>
          </w:tcPr>
          <w:p>
            <w:pPr>
              <w:widowControl/>
              <w:spacing w:line="400" w:lineRule="exact"/>
              <w:rPr>
                <w:rFonts w:hint="eastAsia" w:ascii="宋体" w:hAnsi="宋体"/>
                <w:sz w:val="21"/>
                <w:szCs w:val="21"/>
              </w:rPr>
            </w:pPr>
            <w:r>
              <w:rPr>
                <w:rFonts w:hint="eastAsia" w:ascii="宋体" w:hAnsi="宋体"/>
                <w:sz w:val="21"/>
                <w:szCs w:val="21"/>
              </w:rPr>
              <w:t>相关法规</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执行的产品标准（QMS）</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产品质量监督抽查情况（QMS）</w:t>
            </w:r>
          </w:p>
        </w:tc>
        <w:tc>
          <w:tcPr>
            <w:tcW w:w="9914" w:type="dxa"/>
            <w:noWrap w:val="0"/>
            <w:vAlign w:val="top"/>
          </w:tcPr>
          <w:p>
            <w:pPr>
              <w:widowControl/>
              <w:spacing w:line="400" w:lineRule="exact"/>
              <w:rPr>
                <w:rFonts w:hint="eastAsia" w:ascii="宋体" w:hAnsi="宋体"/>
                <w:sz w:val="21"/>
                <w:szCs w:val="21"/>
              </w:rPr>
            </w:pPr>
            <w:r>
              <w:rPr>
                <w:rFonts w:hint="eastAsia" w:ascii="宋体" w:hAnsi="宋体"/>
                <w:sz w:val="21"/>
                <w:szCs w:val="21"/>
              </w:rPr>
              <w:t>中华人民共和国合同法、中华人民共和国劳动法、中华人民共和国安全消防法、中华人民共和国产品质量法等。</w:t>
            </w:r>
          </w:p>
          <w:p>
            <w:pPr>
              <w:widowControl/>
              <w:spacing w:line="400" w:lineRule="exact"/>
              <w:rPr>
                <w:rFonts w:hint="eastAsia" w:ascii="宋体" w:hAnsi="宋体"/>
                <w:sz w:val="21"/>
                <w:szCs w:val="21"/>
              </w:rPr>
            </w:pPr>
          </w:p>
          <w:p>
            <w:pPr>
              <w:widowControl/>
              <w:spacing w:line="400" w:lineRule="exact"/>
              <w:rPr>
                <w:rFonts w:hint="default" w:ascii="宋体" w:hAnsi="宋体"/>
                <w:sz w:val="21"/>
                <w:szCs w:val="21"/>
                <w:lang w:val="en-US" w:eastAsia="zh-CN"/>
              </w:rPr>
            </w:pPr>
            <w:r>
              <w:rPr>
                <w:rFonts w:hint="eastAsia" w:ascii="宋体" w:hAnsi="宋体"/>
                <w:sz w:val="21"/>
                <w:szCs w:val="21"/>
                <w:lang w:val="en-US" w:eastAsia="zh-CN"/>
              </w:rPr>
              <w:t>硫化橡胶或热塑性橡胶硬度的测定(10 IRHD-100 IRHD)GB T 6031-2017橡胶垫圈、减震垫、堵盖及塑料标小件检查技术条件Q/DFXK230-2014、硬质橡胶硬度的测定GB/T 1698-2003，GB/T3672.1-2002为注公差尺寸.</w:t>
            </w:r>
          </w:p>
          <w:p>
            <w:pPr>
              <w:widowControl/>
              <w:spacing w:line="400" w:lineRule="exact"/>
              <w:rPr>
                <w:rFonts w:hint="eastAsia" w:ascii="宋体" w:hAnsi="宋体"/>
                <w:sz w:val="21"/>
                <w:szCs w:val="21"/>
                <w:lang w:val="en-US" w:eastAsia="zh-CN"/>
              </w:rPr>
            </w:pPr>
          </w:p>
          <w:p>
            <w:pPr>
              <w:widowControl/>
              <w:spacing w:line="400" w:lineRule="exact"/>
              <w:rPr>
                <w:rFonts w:hint="eastAsia" w:ascii="宋体" w:hAnsi="宋体"/>
                <w:sz w:val="21"/>
                <w:szCs w:val="21"/>
              </w:rPr>
            </w:pPr>
            <w:r>
              <w:rPr>
                <w:rFonts w:hint="eastAsia" w:ascii="宋体" w:hAnsi="宋体"/>
                <w:sz w:val="21"/>
                <w:szCs w:val="21"/>
                <w:lang w:val="en-US" w:eastAsia="zh-CN"/>
              </w:rPr>
              <w:t>2019年暂无抽检。</w:t>
            </w:r>
          </w:p>
        </w:tc>
        <w:tc>
          <w:tcPr>
            <w:tcW w:w="1050" w:type="dxa"/>
            <w:noWrap w:val="0"/>
            <w:vAlign w:val="top"/>
          </w:tcPr>
          <w:p>
            <w:pPr>
              <w:spacing w:line="440" w:lineRule="exact"/>
              <w:jc w:val="center"/>
              <w:rPr>
                <w:rFonts w:ascii="宋体" w:hAnsi="宋体"/>
                <w:sz w:val="21"/>
                <w:szCs w:val="21"/>
              </w:rPr>
            </w:pPr>
          </w:p>
        </w:tc>
        <w:tc>
          <w:tcPr>
            <w:tcW w:w="130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6" w:hRule="atLeast"/>
        </w:trPr>
        <w:tc>
          <w:tcPr>
            <w:tcW w:w="3034" w:type="dxa"/>
            <w:noWrap w:val="0"/>
            <w:vAlign w:val="top"/>
          </w:tcPr>
          <w:p>
            <w:pPr>
              <w:widowControl/>
              <w:spacing w:line="400" w:lineRule="exact"/>
              <w:rPr>
                <w:rFonts w:hint="eastAsia" w:ascii="宋体" w:hAnsi="宋体"/>
                <w:sz w:val="21"/>
                <w:szCs w:val="21"/>
              </w:rPr>
            </w:pPr>
            <w:r>
              <w:rPr>
                <w:rFonts w:hint="eastAsia" w:ascii="宋体" w:hAnsi="宋体"/>
                <w:sz w:val="21"/>
                <w:szCs w:val="21"/>
              </w:rPr>
              <w:t>生产工艺</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不适用条款的确认</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外包的识别</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质量目标（QMS）</w:t>
            </w:r>
          </w:p>
        </w:tc>
        <w:tc>
          <w:tcPr>
            <w:tcW w:w="9914" w:type="dxa"/>
            <w:noWrap w:val="0"/>
            <w:vAlign w:val="top"/>
          </w:tcPr>
          <w:p>
            <w:pPr>
              <w:spacing w:line="360" w:lineRule="auto"/>
              <w:ind w:firstLine="420" w:firstLineChars="200"/>
              <w:rPr>
                <w:rFonts w:hint="eastAsia" w:ascii="宋体" w:hAnsi="宋体" w:eastAsia="宋体"/>
                <w:szCs w:val="22"/>
                <w:lang w:val="en-US" w:eastAsia="zh-CN"/>
              </w:rPr>
            </w:pPr>
            <w:r>
              <w:rPr>
                <w:rFonts w:hint="eastAsia" w:ascii="宋体" w:hAnsi="宋体" w:eastAsia="宋体"/>
                <w:szCs w:val="22"/>
                <w:lang w:val="en-US" w:eastAsia="zh-CN"/>
              </w:rPr>
              <w:t>橡胶制品的加工流程：采购—配料—炼胶—</w:t>
            </w:r>
            <w:r>
              <w:rPr>
                <w:rFonts w:hint="eastAsia" w:ascii="宋体" w:hAnsi="宋体"/>
                <w:szCs w:val="22"/>
                <w:lang w:val="en-US" w:eastAsia="zh-CN"/>
              </w:rPr>
              <w:t>下料</w:t>
            </w:r>
            <w:r>
              <w:rPr>
                <w:rFonts w:hint="eastAsia" w:ascii="宋体" w:hAnsi="宋体" w:eastAsia="宋体"/>
                <w:szCs w:val="22"/>
                <w:lang w:val="en-US" w:eastAsia="zh-CN"/>
              </w:rPr>
              <w:t>—硫化成型——修边——检验——包装入库</w:t>
            </w:r>
          </w:p>
          <w:p>
            <w:pPr>
              <w:widowControl/>
              <w:spacing w:line="400" w:lineRule="exact"/>
              <w:rPr>
                <w:rFonts w:hint="eastAsia" w:ascii="宋体" w:hAnsi="宋体" w:eastAsia="宋体" w:cs="Times New Roman"/>
                <w:b w:val="0"/>
                <w:color w:val="0000FF"/>
                <w:kern w:val="2"/>
                <w:sz w:val="21"/>
                <w:szCs w:val="21"/>
                <w:lang w:val="en-US" w:eastAsia="zh-CN" w:bidi="ar-SA"/>
              </w:rPr>
            </w:pPr>
          </w:p>
          <w:p>
            <w:pPr>
              <w:widowControl/>
              <w:spacing w:line="400" w:lineRule="exact"/>
              <w:rPr>
                <w:rFonts w:hint="eastAsia" w:ascii="宋体" w:hAnsi="宋体" w:eastAsia="宋体" w:cs="Times New Roman"/>
                <w:b w:val="0"/>
                <w:color w:val="0000FF"/>
                <w:kern w:val="2"/>
                <w:sz w:val="21"/>
                <w:szCs w:val="21"/>
                <w:lang w:val="en-US" w:eastAsia="zh-CN" w:bidi="ar-SA"/>
              </w:rPr>
            </w:pPr>
          </w:p>
          <w:p>
            <w:pPr>
              <w:spacing w:line="360" w:lineRule="auto"/>
              <w:ind w:firstLine="420" w:firstLineChars="200"/>
              <w:rPr>
                <w:rFonts w:hint="default" w:ascii="宋体" w:hAnsi="宋体" w:eastAsia="宋体"/>
                <w:lang w:val="en-US" w:eastAsia="zh-CN"/>
              </w:rPr>
            </w:pPr>
            <w:r>
              <w:rPr>
                <w:rFonts w:hint="eastAsia" w:ascii="宋体" w:hAnsi="宋体" w:eastAsia="宋体"/>
              </w:rPr>
              <w:t>根据公司</w:t>
            </w:r>
            <w:r>
              <w:rPr>
                <w:rFonts w:hint="eastAsia" w:ascii="宋体" w:hAnsi="宋体" w:eastAsia="宋体"/>
                <w:lang w:eastAsia="zh-CN"/>
              </w:rPr>
              <w:t>生产</w:t>
            </w:r>
            <w:r>
              <w:rPr>
                <w:rFonts w:hint="eastAsia" w:ascii="宋体" w:hAnsi="宋体" w:eastAsia="宋体"/>
              </w:rPr>
              <w:t>服务特点，标准中8.</w:t>
            </w:r>
            <w:r>
              <w:rPr>
                <w:rFonts w:hint="eastAsia" w:ascii="宋体" w:hAnsi="宋体" w:eastAsia="宋体"/>
                <w:szCs w:val="22"/>
                <w:lang w:eastAsia="zh-CN"/>
              </w:rPr>
              <w:t>3条款不适用。公司的产品按图纸及客户要求及相关标准进行生产，生产工艺固定成熟，整个生产过程不涉及设计新产品的内容。</w:t>
            </w:r>
            <w:r>
              <w:rPr>
                <w:rFonts w:hint="eastAsia" w:ascii="宋体" w:hAnsi="宋体" w:eastAsia="宋体"/>
                <w:szCs w:val="22"/>
                <w:lang w:val="en-US" w:eastAsia="zh-CN"/>
              </w:rPr>
              <w:t>8.3条款的不</w:t>
            </w:r>
            <w:r>
              <w:rPr>
                <w:rFonts w:hint="eastAsia" w:ascii="宋体" w:hAnsi="宋体"/>
                <w:lang w:val="en-US" w:eastAsia="zh-CN"/>
              </w:rPr>
              <w:t>适用不影响组织提供满足顾客要求及法律法规要求得产品。</w:t>
            </w:r>
          </w:p>
          <w:p>
            <w:pPr>
              <w:widowControl/>
              <w:spacing w:line="400" w:lineRule="exact"/>
              <w:rPr>
                <w:rFonts w:hint="eastAsia" w:ascii="宋体" w:hAnsi="宋体"/>
                <w:sz w:val="21"/>
                <w:szCs w:val="21"/>
                <w:lang w:val="en-US" w:eastAsia="zh-CN"/>
              </w:rPr>
            </w:pP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无</w:t>
            </w:r>
          </w:p>
          <w:p>
            <w:pPr>
              <w:widowControl/>
              <w:spacing w:line="400" w:lineRule="exact"/>
              <w:rPr>
                <w:rFonts w:hint="eastAsia" w:ascii="宋体" w:hAnsi="宋体"/>
                <w:sz w:val="21"/>
                <w:szCs w:val="21"/>
                <w:lang w:val="en-US" w:eastAsia="zh-CN"/>
              </w:rPr>
            </w:pPr>
          </w:p>
          <w:p>
            <w:pPr>
              <w:pStyle w:val="2"/>
              <w:numPr>
                <w:ilvl w:val="0"/>
                <w:numId w:val="0"/>
              </w:numPr>
              <w:tabs>
                <w:tab w:val="left" w:pos="1260"/>
              </w:tabs>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产品一次检验合格率≥98%；</w:t>
            </w:r>
          </w:p>
          <w:p>
            <w:pPr>
              <w:pStyle w:val="2"/>
              <w:numPr>
                <w:ilvl w:val="0"/>
                <w:numId w:val="0"/>
              </w:numPr>
              <w:tabs>
                <w:tab w:val="left" w:pos="1260"/>
              </w:tabs>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产品按期交付率≥98%；</w:t>
            </w:r>
          </w:p>
          <w:p>
            <w:pPr>
              <w:widowControl/>
              <w:spacing w:line="400" w:lineRule="exact"/>
              <w:rPr>
                <w:rFonts w:hint="eastAsia"/>
                <w:sz w:val="21"/>
                <w:szCs w:val="21"/>
              </w:rPr>
            </w:pPr>
            <w:r>
              <w:rPr>
                <w:rFonts w:hint="eastAsia" w:ascii="宋体" w:hAnsi="宋体" w:eastAsia="宋体" w:cs="Times New Roman"/>
                <w:kern w:val="2"/>
                <w:sz w:val="21"/>
                <w:szCs w:val="22"/>
                <w:lang w:val="en-US" w:eastAsia="zh-CN" w:bidi="ar-SA"/>
              </w:rPr>
              <w:t>顾客满意度95分以上。</w:t>
            </w:r>
          </w:p>
        </w:tc>
        <w:tc>
          <w:tcPr>
            <w:tcW w:w="1050" w:type="dxa"/>
            <w:noWrap w:val="0"/>
            <w:vAlign w:val="top"/>
          </w:tcPr>
          <w:p>
            <w:pPr>
              <w:spacing w:line="440" w:lineRule="exact"/>
              <w:jc w:val="center"/>
              <w:rPr>
                <w:rFonts w:ascii="宋体" w:hAnsi="宋体"/>
                <w:sz w:val="21"/>
                <w:szCs w:val="21"/>
              </w:rPr>
            </w:pPr>
          </w:p>
        </w:tc>
        <w:tc>
          <w:tcPr>
            <w:tcW w:w="130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034" w:type="dxa"/>
            <w:noWrap w:val="0"/>
            <w:vAlign w:val="top"/>
          </w:tcPr>
          <w:p>
            <w:pPr>
              <w:spacing w:line="400" w:lineRule="exact"/>
              <w:rPr>
                <w:rFonts w:hint="eastAsia"/>
                <w:sz w:val="21"/>
                <w:szCs w:val="21"/>
              </w:rPr>
            </w:pPr>
            <w:r>
              <w:rPr>
                <w:rFonts w:hint="eastAsia"/>
                <w:sz w:val="21"/>
                <w:szCs w:val="21"/>
              </w:rPr>
              <w:t>设计开发产品或项目名称</w:t>
            </w:r>
          </w:p>
          <w:p>
            <w:pPr>
              <w:spacing w:line="400" w:lineRule="exact"/>
              <w:rPr>
                <w:rFonts w:hint="eastAsia"/>
                <w:sz w:val="21"/>
                <w:szCs w:val="21"/>
              </w:rPr>
            </w:pPr>
            <w:r>
              <w:rPr>
                <w:rFonts w:hint="eastAsia"/>
                <w:sz w:val="21"/>
                <w:szCs w:val="21"/>
              </w:rPr>
              <w:t>主要原材料</w:t>
            </w:r>
          </w:p>
        </w:tc>
        <w:tc>
          <w:tcPr>
            <w:tcW w:w="9914" w:type="dxa"/>
            <w:noWrap w:val="0"/>
            <w:vAlign w:val="top"/>
          </w:tcPr>
          <w:p>
            <w:pPr>
              <w:rPr>
                <w:rFonts w:hint="eastAsia" w:ascii="宋体" w:hAnsi="宋体"/>
                <w:sz w:val="21"/>
                <w:szCs w:val="21"/>
                <w:lang w:val="en-US" w:eastAsia="zh-CN"/>
              </w:rPr>
            </w:pPr>
            <w:r>
              <w:rPr>
                <w:rFonts w:hint="eastAsia" w:ascii="宋体" w:hAnsi="宋体"/>
                <w:sz w:val="21"/>
                <w:szCs w:val="21"/>
                <w:lang w:val="en-US" w:eastAsia="zh-CN"/>
              </w:rPr>
              <w:t>无</w:t>
            </w:r>
          </w:p>
          <w:p>
            <w:pPr>
              <w:spacing w:line="400" w:lineRule="exact"/>
              <w:rPr>
                <w:rFonts w:hint="eastAsia"/>
                <w:sz w:val="21"/>
                <w:szCs w:val="21"/>
                <w:lang w:val="en-US" w:eastAsia="zh-CN"/>
              </w:rPr>
            </w:pPr>
          </w:p>
          <w:p>
            <w:pPr>
              <w:spacing w:line="400" w:lineRule="exact"/>
              <w:rPr>
                <w:rFonts w:hint="eastAsia"/>
                <w:color w:val="FF0000"/>
                <w:sz w:val="21"/>
                <w:szCs w:val="21"/>
              </w:rPr>
            </w:pPr>
            <w:r>
              <w:rPr>
                <w:rFonts w:hint="eastAsia"/>
                <w:sz w:val="21"/>
                <w:szCs w:val="21"/>
                <w:lang w:val="en-US" w:eastAsia="zh-CN"/>
              </w:rPr>
              <w:t>再生橡胶、半精炼颗粒、氧化锌、硫磺粉、促进剂、防老剂、聚乙二醇、轻钙等</w:t>
            </w:r>
          </w:p>
        </w:tc>
        <w:tc>
          <w:tcPr>
            <w:tcW w:w="1050" w:type="dxa"/>
            <w:noWrap w:val="0"/>
            <w:vAlign w:val="top"/>
          </w:tcPr>
          <w:p>
            <w:pPr>
              <w:spacing w:line="440" w:lineRule="exact"/>
              <w:jc w:val="center"/>
              <w:rPr>
                <w:rFonts w:ascii="宋体" w:hAnsi="宋体"/>
                <w:sz w:val="21"/>
                <w:szCs w:val="21"/>
              </w:rPr>
            </w:pPr>
          </w:p>
        </w:tc>
        <w:tc>
          <w:tcPr>
            <w:tcW w:w="130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034" w:type="dxa"/>
            <w:noWrap w:val="0"/>
            <w:vAlign w:val="top"/>
          </w:tcPr>
          <w:p>
            <w:pPr>
              <w:spacing w:line="400" w:lineRule="exact"/>
              <w:rPr>
                <w:rFonts w:hint="eastAsia"/>
                <w:sz w:val="21"/>
                <w:szCs w:val="21"/>
                <w:lang w:eastAsia="zh-CN"/>
              </w:rPr>
            </w:pPr>
            <w:r>
              <w:rPr>
                <w:rFonts w:hint="eastAsia"/>
                <w:sz w:val="21"/>
                <w:szCs w:val="21"/>
                <w:lang w:eastAsia="zh-CN"/>
              </w:rPr>
              <w:t>员工人数</w:t>
            </w:r>
          </w:p>
          <w:p>
            <w:pPr>
              <w:spacing w:line="400" w:lineRule="exact"/>
              <w:rPr>
                <w:rFonts w:hint="eastAsia"/>
                <w:sz w:val="21"/>
                <w:szCs w:val="21"/>
                <w:lang w:eastAsia="zh-CN"/>
              </w:rPr>
            </w:pPr>
            <w:r>
              <w:rPr>
                <w:rFonts w:hint="eastAsia"/>
                <w:sz w:val="21"/>
                <w:szCs w:val="21"/>
                <w:lang w:eastAsia="zh-CN"/>
              </w:rPr>
              <w:t>关键岗位持证上岗人员</w:t>
            </w:r>
          </w:p>
          <w:p>
            <w:pPr>
              <w:spacing w:line="400" w:lineRule="exact"/>
              <w:rPr>
                <w:rFonts w:hint="eastAsia"/>
                <w:sz w:val="21"/>
                <w:szCs w:val="21"/>
                <w:lang w:eastAsia="zh-CN"/>
              </w:rPr>
            </w:pPr>
            <w:r>
              <w:rPr>
                <w:rFonts w:hint="eastAsia"/>
                <w:sz w:val="21"/>
                <w:szCs w:val="21"/>
                <w:lang w:eastAsia="zh-CN"/>
              </w:rPr>
              <w:t>特殊工种人员</w:t>
            </w:r>
          </w:p>
        </w:tc>
        <w:tc>
          <w:tcPr>
            <w:tcW w:w="9914" w:type="dxa"/>
            <w:noWrap w:val="0"/>
            <w:vAlign w:val="top"/>
          </w:tcPr>
          <w:p>
            <w:pPr>
              <w:spacing w:line="400" w:lineRule="exact"/>
              <w:rPr>
                <w:rFonts w:hint="eastAsia"/>
                <w:sz w:val="21"/>
                <w:szCs w:val="21"/>
                <w:lang w:eastAsia="zh-CN"/>
              </w:rPr>
            </w:pPr>
            <w:r>
              <w:rPr>
                <w:rFonts w:hint="eastAsia"/>
                <w:sz w:val="21"/>
                <w:szCs w:val="21"/>
                <w:lang w:val="en-US" w:eastAsia="zh-CN"/>
              </w:rPr>
              <w:t>15</w:t>
            </w:r>
            <w:r>
              <w:rPr>
                <w:rFonts w:hint="eastAsia"/>
                <w:sz w:val="21"/>
                <w:szCs w:val="21"/>
                <w:lang w:eastAsia="zh-CN"/>
              </w:rPr>
              <w:t>人</w:t>
            </w:r>
          </w:p>
          <w:p>
            <w:pPr>
              <w:spacing w:line="400" w:lineRule="exact"/>
              <w:rPr>
                <w:rFonts w:hint="eastAsia"/>
                <w:sz w:val="21"/>
                <w:szCs w:val="21"/>
                <w:lang w:eastAsia="zh-CN"/>
              </w:rPr>
            </w:pPr>
            <w:r>
              <w:rPr>
                <w:rFonts w:hint="eastAsia"/>
                <w:sz w:val="21"/>
                <w:szCs w:val="21"/>
                <w:lang w:eastAsia="zh-CN"/>
              </w:rPr>
              <w:t>无</w:t>
            </w:r>
          </w:p>
          <w:p>
            <w:pPr>
              <w:spacing w:line="400" w:lineRule="exact"/>
              <w:rPr>
                <w:rFonts w:hint="eastAsia"/>
                <w:sz w:val="21"/>
                <w:szCs w:val="21"/>
                <w:lang w:eastAsia="zh-CN"/>
              </w:rPr>
            </w:pPr>
            <w:r>
              <w:rPr>
                <w:rFonts w:hint="eastAsia"/>
                <w:sz w:val="21"/>
                <w:szCs w:val="21"/>
                <w:lang w:eastAsia="zh-CN"/>
              </w:rPr>
              <w:t>无</w:t>
            </w:r>
          </w:p>
        </w:tc>
        <w:tc>
          <w:tcPr>
            <w:tcW w:w="1050" w:type="dxa"/>
            <w:noWrap w:val="0"/>
            <w:vAlign w:val="top"/>
          </w:tcPr>
          <w:p>
            <w:pPr>
              <w:spacing w:line="440" w:lineRule="exact"/>
              <w:jc w:val="center"/>
              <w:rPr>
                <w:rFonts w:ascii="宋体" w:hAnsi="宋体"/>
                <w:sz w:val="21"/>
                <w:szCs w:val="21"/>
              </w:rPr>
            </w:pPr>
          </w:p>
        </w:tc>
        <w:tc>
          <w:tcPr>
            <w:tcW w:w="130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3034" w:type="dxa"/>
            <w:noWrap w:val="0"/>
            <w:vAlign w:val="top"/>
          </w:tcPr>
          <w:p>
            <w:pPr>
              <w:spacing w:line="400" w:lineRule="exact"/>
              <w:rPr>
                <w:rFonts w:hint="eastAsia" w:ascii="宋体" w:hAnsi="宋体" w:cs="宋体"/>
                <w:sz w:val="21"/>
                <w:szCs w:val="21"/>
              </w:rPr>
            </w:pPr>
            <w:r>
              <w:rPr>
                <w:rFonts w:hint="eastAsia" w:ascii="宋体" w:hAnsi="宋体" w:cs="宋体"/>
                <w:sz w:val="21"/>
                <w:szCs w:val="21"/>
              </w:rPr>
              <w:t>主要生产设备</w:t>
            </w:r>
          </w:p>
          <w:p>
            <w:pPr>
              <w:spacing w:line="400" w:lineRule="exact"/>
              <w:rPr>
                <w:rFonts w:hint="eastAsia" w:ascii="宋体" w:hAnsi="宋体" w:cs="宋体"/>
                <w:sz w:val="21"/>
                <w:szCs w:val="21"/>
              </w:rPr>
            </w:pPr>
            <w:r>
              <w:rPr>
                <w:rFonts w:hint="eastAsia" w:ascii="宋体" w:hAnsi="宋体" w:cs="宋体"/>
                <w:sz w:val="21"/>
                <w:szCs w:val="21"/>
              </w:rPr>
              <w:t>特种设备</w:t>
            </w:r>
          </w:p>
          <w:p>
            <w:pPr>
              <w:spacing w:line="400" w:lineRule="exact"/>
              <w:rPr>
                <w:rFonts w:hint="eastAsia" w:ascii="宋体" w:hAnsi="宋体" w:cs="宋体"/>
                <w:sz w:val="21"/>
                <w:szCs w:val="21"/>
              </w:rPr>
            </w:pPr>
          </w:p>
          <w:p>
            <w:pPr>
              <w:spacing w:line="400" w:lineRule="exact"/>
              <w:rPr>
                <w:rFonts w:hint="eastAsia" w:ascii="宋体" w:hAnsi="宋体" w:cs="宋体"/>
                <w:sz w:val="21"/>
                <w:szCs w:val="21"/>
              </w:rPr>
            </w:pPr>
            <w:r>
              <w:rPr>
                <w:rFonts w:hint="eastAsia" w:ascii="宋体" w:hAnsi="宋体" w:cs="宋体"/>
                <w:sz w:val="21"/>
                <w:szCs w:val="21"/>
              </w:rPr>
              <w:t>主要检测设备及设备的检定/校准（QMS）</w:t>
            </w:r>
          </w:p>
        </w:tc>
        <w:tc>
          <w:tcPr>
            <w:tcW w:w="9914" w:type="dxa"/>
            <w:noWrap w:val="0"/>
            <w:vAlign w:val="top"/>
          </w:tcPr>
          <w:p>
            <w:pPr>
              <w:spacing w:line="400" w:lineRule="exact"/>
              <w:rPr>
                <w:rFonts w:hint="eastAsia" w:ascii="宋体" w:hAnsi="宋体"/>
                <w:sz w:val="21"/>
                <w:szCs w:val="21"/>
                <w:lang w:val="en-US" w:eastAsia="zh-CN"/>
              </w:rPr>
            </w:pPr>
            <w:r>
              <w:rPr>
                <w:rFonts w:hint="eastAsia" w:ascii="宋体" w:hAnsi="宋体"/>
                <w:sz w:val="21"/>
                <w:szCs w:val="21"/>
                <w:lang w:val="en-US" w:eastAsia="zh-CN"/>
              </w:rPr>
              <w:t>电脑及办公设备、密炼机、开炼机、切胶机、平板硫化机、真空硫化机等。可以满足橡胶制品的加工需要。</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无</w:t>
            </w:r>
          </w:p>
          <w:p>
            <w:pPr>
              <w:spacing w:line="400" w:lineRule="exact"/>
              <w:rPr>
                <w:rFonts w:hint="eastAsia" w:ascii="宋体" w:hAnsi="宋体" w:cs="宋体"/>
                <w:color w:val="FF0000"/>
                <w:sz w:val="21"/>
                <w:szCs w:val="21"/>
              </w:rPr>
            </w:pPr>
            <w:r>
              <w:rPr>
                <w:rFonts w:hint="eastAsia" w:ascii="宋体" w:hAnsi="宋体"/>
                <w:sz w:val="21"/>
                <w:szCs w:val="21"/>
                <w:lang w:val="en-US" w:eastAsia="zh-CN"/>
              </w:rPr>
              <w:t>主要检测设备有</w:t>
            </w:r>
            <w:bookmarkStart w:id="3" w:name="_GoBack"/>
            <w:r>
              <w:rPr>
                <w:rFonts w:hint="eastAsia" w:ascii="宋体" w:hAnsi="宋体"/>
                <w:sz w:val="21"/>
                <w:szCs w:val="21"/>
                <w:lang w:val="en-US" w:eastAsia="zh-CN"/>
              </w:rPr>
              <w:t>硬度计、游标卡尺、电子秤、微电脑拉力试验机</w:t>
            </w:r>
            <w:bookmarkEnd w:id="3"/>
            <w:r>
              <w:rPr>
                <w:rFonts w:hint="eastAsia" w:ascii="宋体" w:hAnsi="宋体"/>
                <w:sz w:val="21"/>
                <w:szCs w:val="21"/>
                <w:lang w:val="en-US" w:eastAsia="zh-CN"/>
              </w:rPr>
              <w:t>等。其中微电脑拉力试验机不能提供有效校准证书。</w:t>
            </w:r>
          </w:p>
        </w:tc>
        <w:tc>
          <w:tcPr>
            <w:tcW w:w="1050" w:type="dxa"/>
            <w:noWrap w:val="0"/>
            <w:vAlign w:val="top"/>
          </w:tcPr>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both"/>
              <w:rPr>
                <w:rFonts w:hint="default" w:ascii="宋体" w:hAnsi="宋体" w:eastAsia="宋体"/>
                <w:sz w:val="21"/>
                <w:szCs w:val="21"/>
                <w:lang w:val="en-US" w:eastAsia="zh-CN"/>
              </w:rPr>
            </w:pPr>
            <w:r>
              <w:rPr>
                <w:rFonts w:hint="eastAsia" w:ascii="宋体" w:hAnsi="宋体"/>
                <w:sz w:val="21"/>
                <w:szCs w:val="21"/>
                <w:lang w:val="en-US" w:eastAsia="zh-CN"/>
              </w:rPr>
              <w:t>7.1.5</w:t>
            </w:r>
          </w:p>
        </w:tc>
        <w:tc>
          <w:tcPr>
            <w:tcW w:w="1305" w:type="dxa"/>
            <w:noWrap w:val="0"/>
            <w:vAlign w:val="top"/>
          </w:tcPr>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both"/>
              <w:rPr>
                <w:rFonts w:hint="eastAsia" w:ascii="宋体" w:hAnsi="宋体" w:eastAsia="宋体"/>
                <w:sz w:val="21"/>
                <w:szCs w:val="21"/>
                <w:lang w:val="en-US" w:eastAsia="zh-CN"/>
              </w:rPr>
            </w:pPr>
            <w:r>
              <w:rPr>
                <w:rFonts w:hint="eastAsia" w:ascii="宋体" w:hAnsi="宋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034" w:type="dxa"/>
            <w:noWrap w:val="0"/>
            <w:vAlign w:val="top"/>
          </w:tcPr>
          <w:p>
            <w:pPr>
              <w:spacing w:line="400" w:lineRule="exact"/>
              <w:rPr>
                <w:rFonts w:hint="eastAsia"/>
                <w:sz w:val="21"/>
                <w:szCs w:val="21"/>
              </w:rPr>
            </w:pPr>
            <w:r>
              <w:rPr>
                <w:rFonts w:hint="eastAsia"/>
                <w:sz w:val="21"/>
                <w:szCs w:val="21"/>
              </w:rPr>
              <w:t>顾客及相关方投诉</w:t>
            </w:r>
          </w:p>
        </w:tc>
        <w:tc>
          <w:tcPr>
            <w:tcW w:w="9914" w:type="dxa"/>
            <w:noWrap w:val="0"/>
            <w:vAlign w:val="top"/>
          </w:tcPr>
          <w:p>
            <w:pPr>
              <w:spacing w:line="400" w:lineRule="exact"/>
              <w:rPr>
                <w:rFonts w:hint="eastAsia"/>
                <w:sz w:val="21"/>
                <w:szCs w:val="21"/>
              </w:rPr>
            </w:pPr>
            <w:r>
              <w:rPr>
                <w:rFonts w:hint="eastAsia"/>
                <w:sz w:val="21"/>
                <w:szCs w:val="21"/>
              </w:rPr>
              <w:t>暂无</w:t>
            </w:r>
          </w:p>
        </w:tc>
        <w:tc>
          <w:tcPr>
            <w:tcW w:w="1050" w:type="dxa"/>
            <w:noWrap w:val="0"/>
            <w:vAlign w:val="top"/>
          </w:tcPr>
          <w:p>
            <w:pPr>
              <w:spacing w:line="440" w:lineRule="exact"/>
              <w:jc w:val="center"/>
              <w:rPr>
                <w:rFonts w:ascii="宋体" w:hAnsi="宋体"/>
                <w:sz w:val="21"/>
                <w:szCs w:val="21"/>
              </w:rPr>
            </w:pPr>
          </w:p>
        </w:tc>
        <w:tc>
          <w:tcPr>
            <w:tcW w:w="130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034" w:type="dxa"/>
            <w:noWrap w:val="0"/>
            <w:vAlign w:val="top"/>
          </w:tcPr>
          <w:p>
            <w:pPr>
              <w:spacing w:line="400" w:lineRule="exact"/>
              <w:rPr>
                <w:rFonts w:hint="eastAsia"/>
                <w:sz w:val="21"/>
                <w:szCs w:val="21"/>
              </w:rPr>
            </w:pPr>
            <w:r>
              <w:rPr>
                <w:rFonts w:hint="eastAsia"/>
                <w:sz w:val="21"/>
                <w:szCs w:val="21"/>
              </w:rPr>
              <w:t>方针及目标、指标及方案</w:t>
            </w:r>
          </w:p>
        </w:tc>
        <w:tc>
          <w:tcPr>
            <w:tcW w:w="9914" w:type="dxa"/>
            <w:noWrap w:val="0"/>
            <w:vAlign w:val="top"/>
          </w:tcPr>
          <w:p>
            <w:pPr>
              <w:spacing w:line="400" w:lineRule="exact"/>
              <w:jc w:val="both"/>
              <w:rPr>
                <w:rFonts w:hint="eastAsia"/>
                <w:sz w:val="21"/>
                <w:szCs w:val="21"/>
              </w:rPr>
            </w:pPr>
            <w:r>
              <w:rPr>
                <w:rFonts w:hint="eastAsia" w:ascii="Times New Roman" w:hAnsi="Times New Roman" w:cs="Times New Roman"/>
                <w:sz w:val="21"/>
                <w:szCs w:val="21"/>
              </w:rPr>
              <w:t>方针：</w:t>
            </w:r>
            <w:r>
              <w:rPr>
                <w:rFonts w:hint="eastAsia" w:ascii="Times New Roman" w:hAnsi="Times New Roman" w:cs="Times New Roman"/>
                <w:sz w:val="21"/>
                <w:szCs w:val="21"/>
                <w:lang w:eastAsia="zh-CN"/>
              </w:rPr>
              <w:t>质量第一</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用户至上</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持续改进</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服务周到</w:t>
            </w:r>
          </w:p>
        </w:tc>
        <w:tc>
          <w:tcPr>
            <w:tcW w:w="1050" w:type="dxa"/>
            <w:noWrap w:val="0"/>
            <w:vAlign w:val="top"/>
          </w:tcPr>
          <w:p>
            <w:pPr>
              <w:spacing w:line="440" w:lineRule="exact"/>
              <w:jc w:val="center"/>
              <w:rPr>
                <w:rFonts w:ascii="宋体" w:hAnsi="宋体"/>
                <w:sz w:val="21"/>
                <w:szCs w:val="21"/>
              </w:rPr>
            </w:pPr>
          </w:p>
        </w:tc>
        <w:tc>
          <w:tcPr>
            <w:tcW w:w="130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3034"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9914" w:type="dxa"/>
            <w:noWrap w:val="0"/>
            <w:vAlign w:val="top"/>
          </w:tcPr>
          <w:p>
            <w:pPr>
              <w:spacing w:line="400" w:lineRule="exact"/>
              <w:rPr>
                <w:rFonts w:hint="eastAsia"/>
                <w:sz w:val="21"/>
                <w:szCs w:val="21"/>
              </w:rPr>
            </w:pPr>
            <w:r>
              <w:rPr>
                <w:rFonts w:hint="eastAsia"/>
                <w:sz w:val="21"/>
                <w:szCs w:val="21"/>
              </w:rPr>
              <w:t>建立有《内部质量体系审核程序》</w:t>
            </w:r>
          </w:p>
          <w:p>
            <w:pPr>
              <w:spacing w:line="400" w:lineRule="exact"/>
              <w:rPr>
                <w:rFonts w:hint="eastAsia"/>
                <w:sz w:val="21"/>
                <w:szCs w:val="21"/>
              </w:rPr>
            </w:pPr>
            <w:r>
              <w:rPr>
                <w:rFonts w:hint="eastAsia"/>
                <w:sz w:val="21"/>
                <w:szCs w:val="21"/>
              </w:rPr>
              <w:t xml:space="preserve">见有《内部审核计划表》 </w:t>
            </w:r>
          </w:p>
          <w:p>
            <w:pPr>
              <w:spacing w:line="400" w:lineRule="exact"/>
              <w:rPr>
                <w:rFonts w:hint="eastAsia" w:ascii="Times New Roman" w:hAnsi="Times New Roman" w:cs="Times New Roman"/>
                <w:sz w:val="21"/>
                <w:szCs w:val="21"/>
                <w:lang w:val="en-US" w:eastAsia="zh-CN"/>
              </w:rPr>
            </w:pPr>
            <w:r>
              <w:rPr>
                <w:rFonts w:hint="eastAsia"/>
                <w:sz w:val="21"/>
                <w:szCs w:val="21"/>
              </w:rPr>
              <w:t>内审</w:t>
            </w:r>
            <w:r>
              <w:rPr>
                <w:rFonts w:hint="eastAsia" w:ascii="Times New Roman" w:hAnsi="Times New Roman" w:cs="Times New Roman"/>
                <w:sz w:val="21"/>
                <w:szCs w:val="21"/>
                <w:lang w:val="en-US" w:eastAsia="zh-CN"/>
              </w:rPr>
              <w:t>时间： 2020年03月20日</w:t>
            </w:r>
          </w:p>
          <w:p>
            <w:pPr>
              <w:spacing w:line="400" w:lineRule="exact"/>
              <w:rPr>
                <w:rFonts w:hint="eastAsia" w:ascii="Times New Roman" w:hAnsi="Times New Roman" w:cs="Times New Roman"/>
                <w:sz w:val="21"/>
                <w:szCs w:val="21"/>
                <w:lang w:val="en-US" w:eastAsia="zh-CN"/>
              </w:rPr>
            </w:pPr>
            <w:r>
              <w:rPr>
                <w:rFonts w:hint="eastAsia"/>
                <w:sz w:val="21"/>
                <w:szCs w:val="21"/>
              </w:rPr>
              <w:t>内审组</w:t>
            </w:r>
            <w:r>
              <w:rPr>
                <w:rFonts w:hint="eastAsia" w:ascii="Times New Roman" w:hAnsi="Times New Roman" w:cs="Times New Roman"/>
                <w:sz w:val="21"/>
                <w:szCs w:val="21"/>
                <w:lang w:eastAsia="zh-CN"/>
              </w:rPr>
              <w:t>组员：</w:t>
            </w:r>
            <w:r>
              <w:rPr>
                <w:rFonts w:hint="eastAsia" w:ascii="Times New Roman" w:hAnsi="Times New Roman" w:cs="Times New Roman"/>
                <w:sz w:val="21"/>
                <w:szCs w:val="21"/>
              </w:rPr>
              <w:t xml:space="preserve">宋国民（生技部）A        </w:t>
            </w:r>
            <w:r>
              <w:rPr>
                <w:rFonts w:hint="eastAsia" w:ascii="Times New Roman" w:hAnsi="Times New Roman" w:cs="Times New Roman"/>
                <w:sz w:val="21"/>
                <w:szCs w:val="21"/>
                <w:lang w:eastAsia="zh-CN"/>
              </w:rPr>
              <w:t>组长：</w:t>
            </w:r>
            <w:r>
              <w:rPr>
                <w:rFonts w:hint="eastAsia" w:ascii="Times New Roman" w:hAnsi="Times New Roman" w:cs="Times New Roman"/>
                <w:sz w:val="21"/>
                <w:szCs w:val="21"/>
              </w:rPr>
              <w:t xml:space="preserve">王丽娟（行政部）B    </w:t>
            </w:r>
          </w:p>
          <w:p>
            <w:pPr>
              <w:spacing w:line="40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见有：《内审不符合项报告》1份，涉及生技部7.1.5条款不符合事实描述“现场使用的游标卡尺校准报告过期。 ”针对该不符合项，已及时采取纠正措施后，经内审员验证关闭。</w:t>
            </w:r>
          </w:p>
          <w:p>
            <w:pPr>
              <w:spacing w:line="400" w:lineRule="exact"/>
              <w:rPr>
                <w:rFonts w:hint="eastAsia" w:eastAsia="宋体"/>
                <w:sz w:val="21"/>
                <w:szCs w:val="21"/>
                <w:lang w:eastAsia="zh-CN"/>
              </w:rPr>
            </w:pPr>
            <w:r>
              <w:rPr>
                <w:rFonts w:hint="eastAsia" w:ascii="Times New Roman" w:hAnsi="Times New Roman" w:cs="Times New Roman"/>
                <w:sz w:val="21"/>
                <w:szCs w:val="21"/>
                <w:lang w:val="en-US" w:eastAsia="zh-CN"/>
              </w:rPr>
              <w:t>查见《内部审核报告》，有审核结论：公司的体系运行符合自身的质量管理体系及标准要求且得到有效的实</w:t>
            </w:r>
            <w:r>
              <w:rPr>
                <w:rFonts w:hint="eastAsia"/>
                <w:sz w:val="21"/>
                <w:szCs w:val="21"/>
                <w:lang w:eastAsia="zh-CN"/>
              </w:rPr>
              <w:t>施和保持</w:t>
            </w:r>
          </w:p>
        </w:tc>
        <w:tc>
          <w:tcPr>
            <w:tcW w:w="1050" w:type="dxa"/>
            <w:noWrap w:val="0"/>
            <w:vAlign w:val="top"/>
          </w:tcPr>
          <w:p>
            <w:pPr>
              <w:spacing w:line="440" w:lineRule="exact"/>
              <w:jc w:val="center"/>
              <w:rPr>
                <w:rFonts w:ascii="宋体" w:hAnsi="宋体"/>
                <w:sz w:val="21"/>
                <w:szCs w:val="21"/>
              </w:rPr>
            </w:pPr>
          </w:p>
        </w:tc>
        <w:tc>
          <w:tcPr>
            <w:tcW w:w="130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034" w:type="dxa"/>
            <w:noWrap w:val="0"/>
            <w:vAlign w:val="top"/>
          </w:tcPr>
          <w:p>
            <w:pPr>
              <w:spacing w:line="400" w:lineRule="exact"/>
              <w:rPr>
                <w:rFonts w:hint="eastAsia"/>
                <w:sz w:val="21"/>
                <w:szCs w:val="21"/>
              </w:rPr>
            </w:pPr>
            <w:r>
              <w:rPr>
                <w:rFonts w:hint="eastAsia"/>
                <w:sz w:val="21"/>
                <w:szCs w:val="21"/>
              </w:rPr>
              <w:t>管理评审：</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p>
          <w:p>
            <w:pPr>
              <w:spacing w:line="400" w:lineRule="exact"/>
              <w:rPr>
                <w:rFonts w:hint="eastAsia"/>
                <w:sz w:val="21"/>
                <w:szCs w:val="21"/>
              </w:rPr>
            </w:pPr>
            <w:r>
              <w:rPr>
                <w:rFonts w:hint="eastAsia"/>
                <w:sz w:val="21"/>
                <w:szCs w:val="21"/>
              </w:rPr>
              <w:t>提出的改进内容</w:t>
            </w:r>
          </w:p>
          <w:p>
            <w:pPr>
              <w:spacing w:line="400" w:lineRule="exact"/>
              <w:rPr>
                <w:rFonts w:hint="eastAsia"/>
                <w:sz w:val="21"/>
                <w:szCs w:val="21"/>
              </w:rPr>
            </w:pPr>
          </w:p>
        </w:tc>
        <w:tc>
          <w:tcPr>
            <w:tcW w:w="9914" w:type="dxa"/>
            <w:noWrap w:val="0"/>
            <w:vAlign w:val="top"/>
          </w:tcPr>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查见《管理评审计划》、《管理评审报告》等</w:t>
            </w:r>
          </w:p>
          <w:p>
            <w:pPr>
              <w:adjustRightInd w:val="0"/>
              <w:spacing w:line="400" w:lineRule="exact"/>
              <w:textAlignment w:val="baseline"/>
              <w:rPr>
                <w:rFonts w:hint="eastAsia" w:ascii="Times New Roman" w:hAnsi="Times New Roman" w:cs="Times New Roman"/>
                <w:sz w:val="21"/>
                <w:szCs w:val="21"/>
              </w:rPr>
            </w:pPr>
            <w:r>
              <w:rPr>
                <w:rFonts w:hint="eastAsia" w:ascii="宋体" w:hAnsi="宋体"/>
                <w:kern w:val="0"/>
                <w:sz w:val="21"/>
                <w:szCs w:val="21"/>
              </w:rPr>
              <w:t>管理评</w:t>
            </w:r>
            <w:r>
              <w:rPr>
                <w:rFonts w:hint="eastAsia" w:ascii="Times New Roman" w:hAnsi="Times New Roman" w:cs="Times New Roman"/>
                <w:sz w:val="21"/>
                <w:szCs w:val="21"/>
              </w:rPr>
              <w:t>审</w:t>
            </w:r>
            <w:r>
              <w:rPr>
                <w:rFonts w:hint="eastAsia"/>
                <w:sz w:val="24"/>
              </w:rPr>
              <w:t>2020.03.28</w:t>
            </w:r>
            <w:r>
              <w:rPr>
                <w:rFonts w:hint="eastAsia" w:ascii="Times New Roman" w:hAnsi="Times New Roman" w:cs="Times New Roman"/>
                <w:sz w:val="21"/>
                <w:szCs w:val="21"/>
              </w:rPr>
              <w:t>由总经理</w:t>
            </w:r>
            <w:r>
              <w:rPr>
                <w:rFonts w:hint="eastAsia" w:ascii="Times New Roman" w:hAnsi="Times New Roman" w:cs="Times New Roman"/>
                <w:sz w:val="21"/>
                <w:szCs w:val="21"/>
                <w:lang w:val="en-US" w:eastAsia="zh-CN"/>
              </w:rPr>
              <w:t>主持</w:t>
            </w:r>
            <w:r>
              <w:rPr>
                <w:rFonts w:hint="eastAsia" w:ascii="Times New Roman" w:hAnsi="Times New Roman" w:cs="Times New Roman"/>
                <w:sz w:val="21"/>
                <w:szCs w:val="21"/>
              </w:rPr>
              <w:t>完成。</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提供主要输入材料有：各部门总结，输入信息基本充分和满足要求。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eastAsia" w:ascii="宋体" w:hAnsi="宋体" w:cs="Times New Roman"/>
                <w:kern w:val="0"/>
                <w:sz w:val="21"/>
                <w:szCs w:val="21"/>
              </w:rPr>
            </w:pPr>
          </w:p>
          <w:p>
            <w:pPr>
              <w:adjustRightInd w:val="0"/>
              <w:spacing w:line="400" w:lineRule="exact"/>
              <w:textAlignment w:val="baseline"/>
              <w:rPr>
                <w:rFonts w:hint="eastAsia" w:ascii="宋体" w:hAnsi="宋体" w:cs="Times New Roman"/>
                <w:kern w:val="0"/>
                <w:sz w:val="21"/>
                <w:szCs w:val="21"/>
              </w:rPr>
            </w:pPr>
            <w:r>
              <w:rPr>
                <w:rFonts w:hint="eastAsia" w:ascii="宋体" w:hAnsi="宋体" w:cs="Times New Roman"/>
                <w:kern w:val="0"/>
                <w:sz w:val="21"/>
                <w:szCs w:val="21"/>
              </w:rPr>
              <w:t>提出改进项：</w:t>
            </w:r>
          </w:p>
          <w:p>
            <w:pPr>
              <w:adjustRightInd w:val="0"/>
              <w:spacing w:line="400" w:lineRule="exact"/>
              <w:textAlignment w:val="baseline"/>
              <w:rPr>
                <w:rFonts w:hint="eastAsia" w:ascii="宋体" w:hAnsi="宋体" w:eastAsia="宋体"/>
                <w:kern w:val="0"/>
                <w:sz w:val="21"/>
                <w:szCs w:val="21"/>
                <w:lang w:eastAsia="zh-CN"/>
              </w:rPr>
            </w:pPr>
            <w:r>
              <w:rPr>
                <w:rFonts w:hint="eastAsia" w:ascii="宋体" w:hAnsi="宋体" w:cs="Times New Roman"/>
                <w:kern w:val="0"/>
                <w:sz w:val="21"/>
                <w:szCs w:val="21"/>
              </w:rPr>
              <w:t>加强员工对GB/T19001-2016标准的培训</w:t>
            </w:r>
            <w:r>
              <w:rPr>
                <w:rFonts w:hint="eastAsia" w:ascii="宋体" w:hAnsi="宋体" w:cs="Times New Roman"/>
                <w:kern w:val="0"/>
                <w:sz w:val="21"/>
                <w:szCs w:val="21"/>
                <w:lang w:eastAsia="zh-CN"/>
              </w:rPr>
              <w:t>。</w:t>
            </w:r>
          </w:p>
        </w:tc>
        <w:tc>
          <w:tcPr>
            <w:tcW w:w="1050" w:type="dxa"/>
            <w:noWrap w:val="0"/>
            <w:vAlign w:val="top"/>
          </w:tcPr>
          <w:p>
            <w:pPr>
              <w:spacing w:line="440" w:lineRule="exact"/>
              <w:jc w:val="center"/>
              <w:rPr>
                <w:rFonts w:ascii="宋体" w:hAnsi="宋体"/>
                <w:sz w:val="21"/>
                <w:szCs w:val="21"/>
              </w:rPr>
            </w:pPr>
          </w:p>
        </w:tc>
        <w:tc>
          <w:tcPr>
            <w:tcW w:w="1305" w:type="dxa"/>
            <w:noWrap w:val="0"/>
            <w:vAlign w:val="top"/>
          </w:tcPr>
          <w:p>
            <w:pPr>
              <w:spacing w:line="440" w:lineRule="exact"/>
              <w:jc w:val="center"/>
              <w:rPr>
                <w:rFonts w:ascii="宋体" w:hAnsi="宋体"/>
                <w:sz w:val="21"/>
                <w:szCs w:val="21"/>
              </w:rPr>
            </w:pPr>
          </w:p>
        </w:tc>
      </w:tr>
    </w:tbl>
    <w:p>
      <w:pPr>
        <w:spacing w:line="480" w:lineRule="exact"/>
        <w:jc w:val="center"/>
        <w:rPr>
          <w:rFonts w:hint="default"/>
          <w:sz w:val="24"/>
          <w:szCs w:val="24"/>
          <w:lang w:val="en-US" w:eastAsia="zh-CN"/>
        </w:rPr>
      </w:pPr>
    </w:p>
    <w:p>
      <w:r>
        <w:ptab w:relativeTo="margin" w:alignment="center" w:leader="none"/>
      </w:r>
    </w:p>
    <w:p/>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AA24D1"/>
    <w:rsid w:val="048F7351"/>
    <w:rsid w:val="28A80898"/>
    <w:rsid w:val="301249E3"/>
    <w:rsid w:val="46FC16E5"/>
    <w:rsid w:val="59027BE6"/>
    <w:rsid w:val="5E5B0158"/>
    <w:rsid w:val="5E6719F5"/>
    <w:rsid w:val="6AED58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jc w:val="both"/>
    </w:pPr>
    <w:rPr>
      <w:rFonts w:ascii="宋体" w:hAnsi="Courier New" w:eastAsia="宋体"/>
      <w:szCs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3</TotalTime>
  <ScaleCrop>false</ScaleCrop>
  <LinksUpToDate>false</LinksUpToDate>
  <CharactersWithSpaces>100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2020-04-13T11:48:10Z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