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13"/>
        <w:gridCol w:w="121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宝鸡瑞达消失模有限公司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牛小英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来料检验→车工工序（内外径、平面、止口）→加工中心（钻孔、镗孔、铣孔）→摇臂钻加工（惚孔、攻丝）→清洗、检验、包装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6" w:name="_GoBack"/>
            <w:r>
              <w:rPr>
                <w:rFonts w:hint="eastAsia"/>
                <w:b/>
                <w:sz w:val="20"/>
                <w:lang w:val="en-US" w:eastAsia="zh-CN"/>
              </w:rPr>
              <w:t>特殊</w:t>
            </w:r>
            <w:r>
              <w:rPr>
                <w:rFonts w:hint="eastAsia"/>
                <w:b/>
                <w:sz w:val="20"/>
              </w:rPr>
              <w:t>过程：</w:t>
            </w:r>
            <w:r>
              <w:rPr>
                <w:rFonts w:hint="eastAsia"/>
                <w:b/>
                <w:sz w:val="20"/>
                <w:lang w:val="en-US" w:eastAsia="zh-CN"/>
              </w:rPr>
              <w:t>设计过程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GB/T1184-1996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《形状和位置公差未注公差值》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图号6DS50T-16010-5系列、15410-15系列离合器壳体图纸、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陕西法士特汽车传动集团有限责任公司标准S27003-2019《灰铸铁件规范》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83820</wp:posOffset>
            </wp:positionV>
            <wp:extent cx="382905" cy="302895"/>
            <wp:effectExtent l="0" t="0" r="1079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1284605</wp:posOffset>
            </wp:positionH>
            <wp:positionV relativeFrom="paragraph">
              <wp:posOffset>58420</wp:posOffset>
            </wp:positionV>
            <wp:extent cx="382905" cy="302895"/>
            <wp:effectExtent l="0" t="0" r="1079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2020.4.8</w:t>
      </w:r>
      <w:r>
        <w:rPr>
          <w:rFonts w:hint="eastAsia"/>
          <w:b/>
          <w:sz w:val="18"/>
          <w:szCs w:val="18"/>
        </w:rPr>
        <w:t xml:space="preserve">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2020.4.8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A50012"/>
    <w:rsid w:val="3CDB63BA"/>
    <w:rsid w:val="3F7F48DB"/>
    <w:rsid w:val="578E5836"/>
    <w:rsid w:val="5DEE0DDC"/>
    <w:rsid w:val="638B2D2C"/>
    <w:rsid w:val="6AE67C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2020-04-14T14:25:29Z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