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360" w:lineRule="exac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0116-2020-EO</w:t>
      </w:r>
      <w:bookmarkEnd w:id="0"/>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36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河北戈斯顿新能源科技有限公司</w:t>
      </w:r>
      <w:bookmarkEnd w:id="1"/>
    </w:p>
    <w:p>
      <w:pPr>
        <w:pStyle w:val="2"/>
        <w:keepNext w:val="0"/>
        <w:keepLines w:val="0"/>
        <w:pageBreakBefore w:val="0"/>
        <w:widowControl w:val="0"/>
        <w:kinsoku/>
        <w:wordWrap/>
        <w:overflowPunct/>
        <w:topLinePunct w:val="0"/>
        <w:autoSpaceDE/>
        <w:autoSpaceDN/>
        <w:bidi w:val="0"/>
        <w:adjustRightInd/>
        <w:spacing w:line="360" w:lineRule="exact"/>
        <w:ind w:firstLine="632" w:firstLineChars="286"/>
        <w:textAlignment w:val="auto"/>
        <w:rPr>
          <w:rFonts w:hint="eastAsia"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lang w:val="en-US" w:eastAsia="zh-CN"/>
        </w:rPr>
        <w:t>/</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正定县科技工业园旺泉北街7号（河北大旗光电科技有限公司院内）</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050800</w:t>
      </w:r>
      <w:bookmarkEnd w:id="4"/>
    </w:p>
    <w:p>
      <w:pPr>
        <w:pStyle w:val="2"/>
        <w:keepNext w:val="0"/>
        <w:keepLines w:val="0"/>
        <w:pageBreakBefore w:val="0"/>
        <w:widowControl w:val="0"/>
        <w:kinsoku/>
        <w:wordWrap/>
        <w:overflowPunct/>
        <w:topLinePunct w:val="0"/>
        <w:autoSpaceDE/>
        <w:autoSpaceDN/>
        <w:bidi w:val="0"/>
        <w:adjustRightInd/>
        <w:spacing w:line="360" w:lineRule="exact"/>
        <w:ind w:firstLine="632" w:firstLineChars="286"/>
        <w:textAlignment w:val="auto"/>
        <w:rPr>
          <w:rFonts w:hint="eastAsia"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正定县科技工业园旺泉北街7号（河北大旗光电科技有限公司院内）</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050800</w:t>
      </w:r>
      <w:bookmarkEnd w:id="6"/>
    </w:p>
    <w:p>
      <w:pPr>
        <w:pStyle w:val="2"/>
        <w:keepNext w:val="0"/>
        <w:keepLines w:val="0"/>
        <w:pageBreakBefore w:val="0"/>
        <w:widowControl w:val="0"/>
        <w:kinsoku/>
        <w:wordWrap/>
        <w:overflowPunct/>
        <w:topLinePunct w:val="0"/>
        <w:autoSpaceDE/>
        <w:autoSpaceDN/>
        <w:bidi w:val="0"/>
        <w:adjustRightInd/>
        <w:spacing w:line="360" w:lineRule="exact"/>
        <w:ind w:firstLine="632" w:firstLineChars="286"/>
        <w:textAlignment w:val="auto"/>
        <w:rPr>
          <w:rFonts w:hint="eastAsia"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911301233480220329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18632105391</w:t>
      </w:r>
      <w:bookmarkEnd w:id="9"/>
    </w:p>
    <w:p>
      <w:pPr>
        <w:pStyle w:val="2"/>
        <w:keepNext w:val="0"/>
        <w:keepLines w:val="0"/>
        <w:pageBreakBefore w:val="0"/>
        <w:widowControl w:val="0"/>
        <w:kinsoku/>
        <w:wordWrap/>
        <w:overflowPunct/>
        <w:topLinePunct w:val="0"/>
        <w:autoSpaceDE/>
        <w:autoSpaceDN/>
        <w:bidi w:val="0"/>
        <w:adjustRightInd/>
        <w:spacing w:before="120" w:beforeLines="50" w:line="36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吴志锋</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吴志锋</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val="0"/>
          <w:bCs w:val="0"/>
          <w:sz w:val="21"/>
          <w:szCs w:val="21"/>
        </w:rPr>
        <w:t xml:space="preserve">O：GB/T </w:t>
      </w:r>
      <w:r>
        <w:rPr>
          <w:rFonts w:hint="eastAsia" w:ascii="宋体" w:hAnsi="宋体"/>
          <w:b w:val="0"/>
          <w:bCs w:val="0"/>
          <w:sz w:val="21"/>
          <w:szCs w:val="21"/>
          <w:lang w:val="en-US" w:eastAsia="zh-CN"/>
        </w:rPr>
        <w:t>45</w:t>
      </w:r>
      <w:r>
        <w:rPr>
          <w:rFonts w:hint="eastAsia" w:ascii="宋体" w:hAnsi="宋体"/>
          <w:b w:val="0"/>
          <w:bCs w:val="0"/>
          <w:sz w:val="21"/>
          <w:szCs w:val="21"/>
        </w:rPr>
        <w:t>001-20</w:t>
      </w:r>
      <w:r>
        <w:rPr>
          <w:rFonts w:hint="eastAsia" w:ascii="宋体" w:hAnsi="宋体"/>
          <w:b w:val="0"/>
          <w:bCs w:val="0"/>
          <w:sz w:val="21"/>
          <w:szCs w:val="21"/>
          <w:lang w:val="en-US" w:eastAsia="zh-CN"/>
        </w:rPr>
        <w:t>20</w:t>
      </w:r>
      <w:r>
        <w:rPr>
          <w:rFonts w:hint="eastAsia" w:ascii="宋体" w:hAnsi="宋体"/>
          <w:b w:val="0"/>
          <w:bCs w:val="0"/>
          <w:sz w:val="21"/>
          <w:szCs w:val="21"/>
        </w:rPr>
        <w:t>idtISO 45001：2018,E：GB/T 24001-2016idtISO 14001:2015</w:t>
      </w:r>
      <w:bookmarkEnd w:id="13"/>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O:二阶段,E:二阶段</w:t>
      </w:r>
      <w:bookmarkEnd w:id="14"/>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keepNext w:val="0"/>
        <w:keepLines w:val="0"/>
        <w:pageBreakBefore w:val="0"/>
        <w:widowControl w:val="0"/>
        <w:kinsoku/>
        <w:wordWrap/>
        <w:overflowPunct/>
        <w:topLinePunct w:val="0"/>
        <w:autoSpaceDE/>
        <w:autoSpaceDN/>
        <w:bidi w:val="0"/>
        <w:adjustRightInd/>
        <w:spacing w:line="360" w:lineRule="exact"/>
        <w:textAlignment w:val="auto"/>
        <w:rPr>
          <w:b w:val="0"/>
          <w:bCs w:val="0"/>
          <w:color w:val="auto"/>
          <w:sz w:val="21"/>
          <w:szCs w:val="21"/>
        </w:rPr>
      </w:pPr>
      <w:bookmarkStart w:id="15" w:name="审核范围"/>
      <w:r>
        <w:rPr>
          <w:b w:val="0"/>
          <w:bCs w:val="0"/>
          <w:color w:val="auto"/>
          <w:sz w:val="21"/>
          <w:szCs w:val="21"/>
        </w:rPr>
        <w:t>O：</w:t>
      </w:r>
      <w:r>
        <w:rPr>
          <w:rFonts w:hint="eastAsia"/>
          <w:color w:val="auto"/>
          <w:sz w:val="21"/>
          <w:szCs w:val="21"/>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b w:val="0"/>
          <w:bCs w:val="0"/>
          <w:color w:val="auto"/>
          <w:sz w:val="21"/>
          <w:szCs w:val="21"/>
        </w:rPr>
        <w:t>的销售及相关职业健康安全管理活动</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b/>
          <w:color w:val="000000" w:themeColor="text1"/>
          <w:sz w:val="22"/>
          <w:szCs w:val="22"/>
        </w:rPr>
      </w:pPr>
      <w:r>
        <w:rPr>
          <w:b w:val="0"/>
          <w:bCs w:val="0"/>
          <w:color w:val="auto"/>
          <w:sz w:val="21"/>
          <w:szCs w:val="21"/>
        </w:rPr>
        <w:t>E：</w:t>
      </w:r>
      <w:r>
        <w:rPr>
          <w:rFonts w:hint="eastAsia"/>
          <w:color w:val="auto"/>
          <w:sz w:val="21"/>
          <w:szCs w:val="21"/>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b w:val="0"/>
          <w:bCs w:val="0"/>
          <w:color w:val="auto"/>
          <w:sz w:val="21"/>
          <w:szCs w:val="21"/>
        </w:rPr>
        <w:t>的销售及相关环境管理活动</w:t>
      </w:r>
      <w:bookmarkEnd w:id="15"/>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hint="eastAsia"/>
          <w:b/>
          <w:color w:val="000000" w:themeColor="text1"/>
          <w:sz w:val="22"/>
          <w:szCs w:val="22"/>
        </w:rPr>
        <w:t>证书数量：中文证书</w:t>
      </w:r>
      <w:r>
        <w:rPr>
          <w:rFonts w:hint="eastAsia"/>
          <w:b/>
          <w:color w:val="000000" w:themeColor="text1"/>
          <w:sz w:val="22"/>
          <w:szCs w:val="22"/>
          <w:lang w:val="en-US" w:eastAsia="zh-CN"/>
        </w:rPr>
        <w:t>2</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ascii="宋体" w:hAnsi="宋体"/>
          <w:kern w:val="2"/>
          <w:sz w:val="24"/>
          <w:lang w:val="en-US" w:eastAsia="zh-CN" w:bidi="ar-SA"/>
        </w:rPr>
        <w:drawing>
          <wp:anchor distT="0" distB="0" distL="114300" distR="114300" simplePos="0" relativeHeight="251660288" behindDoc="0" locked="0" layoutInCell="1" allowOverlap="1">
            <wp:simplePos x="0" y="0"/>
            <wp:positionH relativeFrom="column">
              <wp:posOffset>4044950</wp:posOffset>
            </wp:positionH>
            <wp:positionV relativeFrom="paragraph">
              <wp:posOffset>6350</wp:posOffset>
            </wp:positionV>
            <wp:extent cx="1049020" cy="50482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049020" cy="504825"/>
                    </a:xfrm>
                    <a:prstGeom prst="rect">
                      <a:avLst/>
                    </a:prstGeom>
                    <a:noFill/>
                    <a:ln>
                      <a:noFill/>
                    </a:ln>
                  </pic:spPr>
                </pic:pic>
              </a:graphicData>
            </a:graphic>
          </wp:anchor>
        </w:drawing>
      </w: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2020.4.13                                   </w:t>
      </w:r>
      <w:r>
        <w:rPr>
          <w:rFonts w:hint="eastAsia"/>
          <w:b/>
          <w:color w:val="000000" w:themeColor="text1"/>
          <w:sz w:val="22"/>
          <w:szCs w:val="22"/>
        </w:rPr>
        <w:t>日期：</w:t>
      </w:r>
      <w:r>
        <w:rPr>
          <w:rFonts w:hint="eastAsia"/>
          <w:b/>
          <w:color w:val="000000" w:themeColor="text1"/>
          <w:sz w:val="22"/>
          <w:szCs w:val="22"/>
          <w:lang w:val="en-US" w:eastAsia="zh-CN"/>
        </w:rPr>
        <w:t>2020.4.13</w:t>
      </w:r>
      <w:bookmarkStart w:id="16" w:name="_GoBack"/>
      <w:bookmarkEnd w:id="16"/>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36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5351E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2020-04-13T06:00:05Z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