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0114-2020-QEO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遂宁市蓝盾有害生物防治有限公司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遂宁市蓝盾有害生物防治有限公司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遂宁市船山区燕山路113附14号第一层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遂宁市船山区燕山路113附14号第一层</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629000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李理</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0825-2282628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李理</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黄俊强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Q：灭各类有害生物(老鼠、蟑螂、蚊虫、蚁类)服务(需资质除外)</w:t>
            </w:r>
          </w:p>
          <w:p>
            <w:pPr>
              <w:spacing w:line="400" w:lineRule="exact"/>
              <w:rPr>
                <w:rFonts w:ascii="宋体" w:hAnsi="宋体"/>
                <w:b/>
                <w:color w:val="000000"/>
                <w:sz w:val="20"/>
                <w:szCs w:val="20"/>
              </w:rPr>
            </w:pPr>
            <w:r>
              <w:rPr>
                <w:rFonts w:ascii="宋体" w:hAnsi="宋体"/>
                <w:b/>
                <w:color w:val="000000"/>
                <w:sz w:val="20"/>
                <w:szCs w:val="20"/>
              </w:rPr>
              <w:t>E：灭各类有害生物(老鼠、蟑螂、蚊虫、蚁类)服务(需资质除外)所涉及场所的相关环境管理活动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O：灭各类有害生物(老鼠、蟑螂、蚊虫、蚁类)服务(需资质除外)所涉及场所的相关职业健康安全管理活动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Q：34.06.00</w:t>
            </w:r>
          </w:p>
          <w:p>
            <w:pPr>
              <w:spacing w:line="280" w:lineRule="exact"/>
              <w:rPr>
                <w:rFonts w:ascii="宋体"/>
                <w:b/>
                <w:color w:val="000000"/>
                <w:sz w:val="20"/>
                <w:szCs w:val="20"/>
              </w:rPr>
            </w:pPr>
            <w:r>
              <w:rPr>
                <w:rFonts w:ascii="宋体"/>
                <w:b/>
                <w:color w:val="000000"/>
                <w:sz w:val="20"/>
                <w:szCs w:val="20"/>
              </w:rPr>
              <w:t>E：34.06.00</w:t>
            </w:r>
          </w:p>
          <w:p>
            <w:pPr>
              <w:spacing w:line="280" w:lineRule="exact"/>
              <w:rPr>
                <w:rFonts w:ascii="宋体"/>
                <w:b/>
                <w:color w:val="000000"/>
                <w:sz w:val="20"/>
                <w:szCs w:val="20"/>
              </w:rPr>
            </w:pPr>
            <w:r>
              <w:rPr>
                <w:rFonts w:ascii="宋体"/>
                <w:b/>
                <w:color w:val="000000"/>
                <w:sz w:val="20"/>
                <w:szCs w:val="20"/>
              </w:rPr>
              <w:t>O：34.06.00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p>
    <w:p>
      <w:pPr>
        <w:spacing w:line="300" w:lineRule="auto"/>
        <w:ind w:firstLine="269" w:firstLineChars="134"/>
        <w:rPr>
          <w:rFonts w:hint="eastAsia" w:eastAsia="宋体"/>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rPr>
              <w:t>灭各类有害生物(老鼠、蟑螂、蚊虫、蚁类)服务(需资质除外)</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ind w:firstLine="402" w:firstLineChars="200"/>
              <w:jc w:val="left"/>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r>
              <w:rPr>
                <w:rFonts w:hint="eastAsia" w:ascii="宋体" w:hAnsi="宋体"/>
                <w:szCs w:val="21"/>
                <w:lang w:eastAsia="zh-CN"/>
              </w:rPr>
              <w:t>、财务部</w:t>
            </w:r>
            <w:r>
              <w:rPr>
                <w:rFonts w:hint="eastAsia" w:ascii="宋体" w:hAnsi="宋体"/>
                <w:szCs w:val="21"/>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技术部</w:t>
            </w:r>
          </w:p>
          <w:p>
            <w:pPr>
              <w:tabs>
                <w:tab w:val="left" w:pos="360"/>
              </w:tabs>
              <w:spacing w:beforeLines="50"/>
              <w:ind w:left="357" w:hanging="357"/>
              <w:rPr>
                <w:rFonts w:ascii="宋体" w:hAnsi="宋体"/>
                <w:szCs w:val="21"/>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hAnsi="宋体"/>
                <w:szCs w:val="21"/>
              </w:rPr>
            </w:pPr>
            <w:r>
              <w:rPr>
                <w:rFonts w:hint="eastAsia" w:ascii="宋体" w:hAnsi="宋体"/>
                <w:b/>
                <w:color w:val="000000"/>
                <w:sz w:val="20"/>
                <w:szCs w:val="20"/>
              </w:rPr>
              <w:t>职业健康安全主管部门：</w:t>
            </w:r>
            <w:r>
              <w:rPr>
                <w:rFonts w:hint="eastAsia" w:ascii="宋体" w:hAnsi="宋体"/>
                <w:szCs w:val="21"/>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ascii="宋体" w:hAnsi="宋体"/>
                <w:szCs w:val="21"/>
                <w:u w:val="single"/>
              </w:rPr>
            </w:pPr>
            <w:r>
              <w:rPr>
                <w:rFonts w:hint="eastAsia" w:ascii="宋体" w:hAnsi="宋体"/>
                <w:color w:val="000000"/>
                <w:sz w:val="20"/>
                <w:szCs w:val="20"/>
              </w:rPr>
              <w:t>受审核方位于：</w:t>
            </w:r>
            <w:bookmarkStart w:id="24" w:name="生产地址"/>
            <w:r>
              <w:t>遂宁市船山区燕山路113附14号第一层</w:t>
            </w:r>
            <w:bookmarkEnd w:id="24"/>
          </w:p>
          <w:p>
            <w:pPr>
              <w:tabs>
                <w:tab w:val="left" w:pos="360"/>
              </w:tabs>
              <w:ind w:left="420" w:leftChars="200" w:firstLine="1052" w:firstLineChars="526"/>
              <w:rPr>
                <w:rFonts w:ascii="宋体"/>
                <w:color w:val="000000"/>
                <w:sz w:val="20"/>
                <w:szCs w:val="20"/>
              </w:rPr>
            </w:pP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numPr>
                <w:ilvl w:val="0"/>
                <w:numId w:val="0"/>
              </w:numPr>
              <w:spacing w:line="400" w:lineRule="exact"/>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szCs w:val="21"/>
                <w:lang w:eastAsia="zh-CN"/>
              </w:rPr>
              <w:t>《</w:t>
            </w:r>
            <w:r>
              <w:rPr>
                <w:rFonts w:hint="eastAsia" w:ascii="宋体" w:hAnsi="宋体" w:cs="宋体"/>
                <w:szCs w:val="21"/>
              </w:rPr>
              <w:t>病媒生物密度控制水平 鼠类》</w:t>
            </w:r>
            <w:r>
              <w:rPr>
                <w:rFonts w:hint="eastAsia" w:ascii="宋体" w:hAnsi="宋体" w:cs="宋体"/>
                <w:kern w:val="15"/>
                <w:szCs w:val="21"/>
              </w:rPr>
              <w:t>GB/T 27770-2011</w:t>
            </w:r>
            <w:r>
              <w:rPr>
                <w:rFonts w:hint="eastAsia" w:ascii="宋体" w:hAnsi="宋体" w:cs="宋体"/>
                <w:szCs w:val="21"/>
              </w:rPr>
              <w:t>、《病媒生物密度控制水平 蚊虫》</w:t>
            </w:r>
            <w:r>
              <w:rPr>
                <w:rFonts w:hint="eastAsia" w:ascii="宋体" w:hAnsi="宋体" w:cs="宋体"/>
                <w:kern w:val="15"/>
                <w:szCs w:val="21"/>
              </w:rPr>
              <w:t>GB/T 27771-2011； 《</w:t>
            </w:r>
            <w:r>
              <w:rPr>
                <w:rFonts w:hint="eastAsia" w:ascii="宋体" w:hAnsi="宋体" w:cs="宋体"/>
                <w:szCs w:val="21"/>
              </w:rPr>
              <w:t>病媒生物密度控制水平 蝇类</w:t>
            </w:r>
            <w:r>
              <w:rPr>
                <w:rFonts w:hint="eastAsia" w:ascii="宋体" w:hAnsi="宋体" w:cs="宋体"/>
                <w:kern w:val="15"/>
                <w:szCs w:val="21"/>
              </w:rPr>
              <w:t>》GB/T 27772-2011; 《</w:t>
            </w:r>
            <w:r>
              <w:rPr>
                <w:rFonts w:hint="eastAsia" w:ascii="宋体" w:hAnsi="宋体" w:cs="宋体"/>
                <w:szCs w:val="21"/>
              </w:rPr>
              <w:t>病媒生物密度控制水平 蜚蠊</w:t>
            </w:r>
            <w:r>
              <w:rPr>
                <w:rFonts w:hint="eastAsia" w:ascii="宋体" w:hAnsi="宋体" w:cs="宋体"/>
                <w:kern w:val="15"/>
                <w:szCs w:val="21"/>
              </w:rPr>
              <w:t>》GB/T 27773-2011</w:t>
            </w:r>
            <w:r>
              <w:rPr>
                <w:rFonts w:hint="eastAsia" w:ascii="宋体" w:hAnsi="宋体" w:cs="宋体"/>
                <w:kern w:val="15"/>
                <w:szCs w:val="21"/>
                <w:lang w:eastAsia="zh-CN"/>
              </w:rPr>
              <w:t>等</w:t>
            </w:r>
            <w:r>
              <w:rPr>
                <w:rFonts w:hint="eastAsia" w:ascii="宋体" w:hAnsi="宋体"/>
                <w:szCs w:val="21"/>
                <w:highlight w:val="none"/>
                <w:lang w:eastAsia="zh-CN"/>
              </w:rPr>
              <w:t>标准</w:t>
            </w:r>
            <w:r>
              <w:rPr>
                <w:rFonts w:hint="eastAsia" w:ascii="宋体" w:hAnsi="宋体"/>
                <w:sz w:val="21"/>
                <w:szCs w:val="21"/>
                <w:highlight w:val="none"/>
                <w:lang w:eastAsia="zh-CN"/>
              </w:rPr>
              <w:t>、</w:t>
            </w:r>
            <w:r>
              <w:rPr>
                <w:rFonts w:hint="eastAsia" w:ascii="宋体" w:hAnsi="宋体"/>
                <w:color w:val="000000"/>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rPr>
            </w:pPr>
            <w:r>
              <w:rPr>
                <w:rFonts w:hint="eastAsia" w:ascii="宋体"/>
                <w:color w:val="000000"/>
                <w:sz w:val="20"/>
                <w:szCs w:val="20"/>
              </w:rPr>
              <w:t>环境执行标准：</w:t>
            </w:r>
            <w:r>
              <w:rPr>
                <w:rFonts w:hint="eastAsia" w:ascii="宋体" w:hAnsi="Times New Roman" w:cs="Times New Roman"/>
                <w:color w:val="000000"/>
                <w:sz w:val="20"/>
                <w:szCs w:val="20"/>
              </w:rPr>
              <w:t>《污水</w:t>
            </w:r>
            <w:r>
              <w:rPr>
                <w:rFonts w:hint="eastAsia" w:ascii="宋体" w:hAnsi="Times New Roman" w:cs="Times New Roman"/>
                <w:color w:val="000000"/>
                <w:sz w:val="20"/>
                <w:szCs w:val="20"/>
                <w:lang w:eastAsia="zh-CN"/>
              </w:rPr>
              <w:t>综合排放</w:t>
            </w:r>
            <w:r>
              <w:rPr>
                <w:rFonts w:hint="eastAsia" w:ascii="宋体" w:hAnsi="Times New Roman" w:cs="Times New Roman"/>
                <w:color w:val="000000"/>
                <w:sz w:val="20"/>
                <w:szCs w:val="20"/>
              </w:rPr>
              <w:t>标准》(GB</w:t>
            </w:r>
            <w:r>
              <w:rPr>
                <w:rFonts w:hint="eastAsia" w:ascii="宋体" w:hAnsi="Times New Roman" w:cs="Times New Roman"/>
                <w:color w:val="000000"/>
                <w:sz w:val="20"/>
                <w:szCs w:val="20"/>
                <w:lang w:val="en-US" w:eastAsia="zh-CN"/>
              </w:rPr>
              <w:t>8978</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1996</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3</w:t>
            </w:r>
            <w:r>
              <w:rPr>
                <w:rFonts w:hint="eastAsia" w:ascii="宋体" w:hAnsi="Times New Roman" w:cs="Times New Roman"/>
                <w:color w:val="000000"/>
                <w:sz w:val="20"/>
                <w:szCs w:val="20"/>
              </w:rPr>
              <w:t>级标准；《工业企业厂界环境噪声排放标准》（GB12348-2008）3类</w:t>
            </w:r>
            <w:r>
              <w:rPr>
                <w:rFonts w:hint="eastAsia" w:ascii="宋体" w:hAnsi="Times New Roman" w:cs="Times New Roman"/>
                <w:color w:val="000000"/>
                <w:sz w:val="20"/>
                <w:szCs w:val="20"/>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w:t>
            </w:r>
            <w:r>
              <w:rPr>
                <w:rFonts w:hint="eastAsia" w:ascii="宋体" w:hAnsi="Times New Roman" w:cs="Times New Roman"/>
                <w:color w:val="000000"/>
                <w:sz w:val="20"/>
                <w:szCs w:val="20"/>
              </w:rPr>
              <w:t>中华人民共和国安全消防法、中华人民共和国劳动合同法、中华人民共和国安全生产法等</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Cs w:val="21"/>
                <w:highlight w:val="none"/>
              </w:rPr>
            </w:pPr>
            <w:r>
              <w:rPr>
                <w:rFonts w:hint="eastAsia" w:ascii="宋体" w:hAnsi="宋体"/>
                <w:color w:val="000000"/>
                <w:szCs w:val="21"/>
                <w:highlight w:val="none"/>
              </w:rPr>
              <w:t>有害生物防制服务流程：</w:t>
            </w:r>
          </w:p>
          <w:p>
            <w:pPr>
              <w:tabs>
                <w:tab w:val="left" w:pos="1080"/>
              </w:tabs>
              <w:spacing w:line="400" w:lineRule="exact"/>
              <w:rPr>
                <w:rFonts w:hint="eastAsia" w:ascii="宋体" w:hAnsi="宋体"/>
                <w:color w:val="000000"/>
                <w:szCs w:val="21"/>
                <w:highlight w:val="none"/>
              </w:rPr>
            </w:pPr>
            <w:r>
              <w:rPr>
                <w:rFonts w:hint="eastAsia" w:ascii="宋体" w:hAnsi="宋体"/>
                <w:color w:val="000000"/>
                <w:szCs w:val="21"/>
                <w:highlight w:val="none"/>
              </w:rPr>
              <w:t>客户洽谈--签订合同—现场勘查有害生物危害情况--制定防制实施方案—防治实施—效果监测-客户验收。</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Cs w:val="21"/>
                <w:highlight w:val="none"/>
              </w:rPr>
              <w:t>防治实施</w:t>
            </w:r>
            <w:r>
              <w:rPr>
                <w:rFonts w:hint="eastAsia" w:ascii="宋体" w:hAnsi="宋体"/>
                <w:color w:val="000000"/>
                <w:szCs w:val="21"/>
                <w:highlight w:val="none"/>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Cs w:val="21"/>
              </w:rPr>
              <w:t>产品和服务实现的策划控制程序</w:t>
            </w:r>
            <w:r>
              <w:rPr>
                <w:rFonts w:hint="eastAsia" w:ascii="宋体" w:hAnsi="宋体" w:cs="Times New Roman"/>
                <w:color w:val="000000"/>
                <w:sz w:val="20"/>
                <w:szCs w:val="20"/>
              </w:rPr>
              <w:t>、</w:t>
            </w:r>
            <w:r>
              <w:rPr>
                <w:rFonts w:hint="eastAsia" w:ascii="宋体" w:hAnsi="宋体"/>
                <w:color w:val="000000"/>
                <w:szCs w:val="21"/>
              </w:rPr>
              <w:t>与顾客和相关方有关的过程控制程序</w:t>
            </w:r>
            <w:r>
              <w:rPr>
                <w:rFonts w:hint="eastAsia" w:ascii="宋体" w:hAnsi="宋体" w:cs="Times New Roman"/>
                <w:color w:val="000000"/>
                <w:sz w:val="20"/>
                <w:szCs w:val="20"/>
              </w:rPr>
              <w:t>、</w:t>
            </w:r>
            <w:r>
              <w:rPr>
                <w:rFonts w:hint="eastAsia" w:ascii="宋体" w:hAnsi="宋体"/>
                <w:color w:val="000000"/>
                <w:szCs w:val="21"/>
              </w:rPr>
              <w:t>外部提供过程、产品、服务控制程序</w:t>
            </w:r>
            <w:r>
              <w:rPr>
                <w:rFonts w:hint="eastAsia" w:ascii="宋体" w:hAnsi="宋体"/>
                <w:color w:val="000000"/>
                <w:szCs w:val="21"/>
                <w:lang w:eastAsia="zh-CN"/>
              </w:rPr>
              <w:t>、</w:t>
            </w:r>
            <w:r>
              <w:rPr>
                <w:rFonts w:hint="eastAsia" w:ascii="宋体" w:hAnsi="宋体"/>
                <w:color w:val="000000"/>
                <w:szCs w:val="21"/>
              </w:rPr>
              <w:t>产品和服务提供控制程序</w:t>
            </w:r>
            <w:r>
              <w:rPr>
                <w:rFonts w:hint="eastAsia" w:ascii="宋体" w:hAnsi="宋体" w:cs="Times New Roman"/>
                <w:color w:val="000000"/>
                <w:sz w:val="20"/>
                <w:szCs w:val="20"/>
              </w:rPr>
              <w:t>等</w:t>
            </w:r>
            <w:r>
              <w:rPr>
                <w:rFonts w:hint="eastAsia" w:ascii="宋体" w:hAnsi="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highlight w:val="none"/>
              </w:rPr>
              <w:t>：</w:t>
            </w:r>
            <w:r>
              <w:rPr>
                <w:rFonts w:hint="eastAsia" w:ascii="宋体" w:hAnsi="宋体"/>
                <w:color w:val="000000"/>
                <w:szCs w:val="21"/>
                <w:highlight w:val="none"/>
              </w:rPr>
              <w:t>防治实施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szCs w:val="21"/>
                <w:lang w:eastAsia="zh-CN"/>
              </w:rPr>
            </w:pPr>
            <w:r>
              <w:rPr>
                <w:rFonts w:hint="eastAsia" w:ascii="宋体" w:hAnsi="宋体"/>
                <w:color w:val="000000"/>
                <w:spacing w:val="-10"/>
                <w:sz w:val="20"/>
                <w:szCs w:val="20"/>
              </w:rPr>
              <w:t>主要设备：</w:t>
            </w:r>
            <w:r>
              <w:rPr>
                <w:rFonts w:hint="eastAsia" w:ascii="宋体" w:hAnsi="宋体" w:cs="宋体"/>
                <w:szCs w:val="21"/>
              </w:rPr>
              <w:t>喷药设备(手推式喷雾机、背负式喷雾机、手提式喷雾机)、应急防护包、灭火器、梯子、溢漏应急包、工作警示牌、个人防护装备（如：工作服、呼吸面具、安全帽、护目镜等）及办公设备等</w:t>
            </w:r>
            <w:r>
              <w:rPr>
                <w:rFonts w:hint="eastAsia" w:ascii="宋体" w:hAnsi="宋体" w:cs="宋体"/>
                <w:szCs w:val="21"/>
                <w:lang w:eastAsia="zh-CN"/>
              </w:rPr>
              <w:t>。</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hAnsi="宋体"/>
                <w:szCs w:val="21"/>
              </w:rPr>
            </w:pPr>
            <w:r>
              <w:rPr>
                <w:rFonts w:hint="eastAsia" w:ascii="宋体" w:hAnsi="宋体"/>
                <w:szCs w:val="21"/>
              </w:rPr>
              <w:t>暂未配置检测设备等，治理后</w:t>
            </w:r>
            <w:r>
              <w:rPr>
                <w:rFonts w:hint="eastAsia" w:ascii="宋体" w:hAnsi="宋体"/>
                <w:szCs w:val="21"/>
                <w:lang w:eastAsia="zh-CN"/>
              </w:rPr>
              <w:t>由客户验收</w:t>
            </w:r>
            <w:r>
              <w:rPr>
                <w:rFonts w:hint="eastAsia" w:ascii="宋体" w:hAnsi="宋体"/>
                <w:szCs w:val="21"/>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1）化学药剂的排放；2）化学品泄漏；3）固废（含危险固废）的排放。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w:t>
            </w:r>
            <w:r>
              <w:rPr>
                <w:rFonts w:hint="eastAsia" w:ascii="宋体"/>
                <w:color w:val="000000"/>
                <w:sz w:val="20"/>
                <w:szCs w:val="20"/>
              </w:rPr>
              <w:t>；（2）运行控制程序。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针对重要环境因素是否明确了监视和测量的要求：有：过程的监视和测量控制程序</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szCs w:val="21"/>
                <w:highlight w:val="none"/>
              </w:rPr>
              <w:t>1）火灾；2）人身伤害（化学品中毒、生物伤害）</w:t>
            </w:r>
            <w:r>
              <w:rPr>
                <w:rFonts w:hint="eastAsia" w:ascii="宋体" w:hAnsi="宋体" w:cs="Times New Roman"/>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10</w:t>
            </w:r>
            <w:r>
              <w:rPr>
                <w:rFonts w:hint="eastAsia" w:ascii="宋体"/>
                <w:color w:val="000000"/>
                <w:sz w:val="20"/>
                <w:szCs w:val="20"/>
              </w:rPr>
              <w:t>人，其中管理人员：</w:t>
            </w:r>
            <w:bookmarkStart w:id="25" w:name="_GoBack"/>
            <w:bookmarkEnd w:id="25"/>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350米（步行5分钟）</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p>
          <w:p>
            <w:pPr>
              <w:spacing w:line="400" w:lineRule="exact"/>
              <w:rPr>
                <w:rFonts w:ascii="宋体"/>
                <w:b/>
                <w:color w:val="000000"/>
                <w:sz w:val="20"/>
                <w:szCs w:val="20"/>
              </w:rPr>
            </w:pPr>
            <w:r>
              <w:rPr>
                <w:rFonts w:hint="eastAsia" w:ascii="宋体" w:hAnsi="宋体"/>
                <w:b/>
                <w:color w:val="000000"/>
                <w:sz w:val="20"/>
                <w:szCs w:val="20"/>
              </w:rPr>
              <w:t>重点审核过程：产品销售和服务提供控制、顾客满意；产品和服务放行、不合格产品和服务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行政部（含财务）、</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行政部（含财务）、</w:t>
            </w:r>
            <w:r>
              <w:rPr>
                <w:rFonts w:hint="eastAsia" w:ascii="宋体" w:hAnsi="宋体"/>
                <w:szCs w:val="21"/>
                <w:lang w:eastAsia="zh-CN"/>
              </w:rPr>
              <w:t>技术部</w:t>
            </w:r>
            <w:r>
              <w:rPr>
                <w:rFonts w:hint="eastAsia" w:ascii="宋体" w:hAnsi="宋体"/>
                <w:szCs w:val="21"/>
              </w:rPr>
              <w:t>、</w:t>
            </w:r>
            <w:r>
              <w:rPr>
                <w:rFonts w:hint="eastAsia" w:ascii="宋体" w:hAnsi="宋体"/>
                <w:szCs w:val="21"/>
                <w:lang w:eastAsia="zh-CN"/>
              </w:rPr>
              <w:t>供销</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szCs w:val="21"/>
                <w:lang w:eastAsia="zh-CN"/>
              </w:rPr>
              <w:t>唐彩雪</w:t>
            </w:r>
            <w:r>
              <w:rPr>
                <w:rFonts w:hint="eastAsia"/>
                <w:szCs w:val="21"/>
              </w:rPr>
              <w:t>（组长）、</w:t>
            </w:r>
            <w:r>
              <w:rPr>
                <w:rFonts w:hint="eastAsia" w:ascii="宋体" w:hAnsi="宋体"/>
                <w:szCs w:val="21"/>
                <w:lang w:eastAsia="zh-CN"/>
              </w:rPr>
              <w:t>黄俊强</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灭各类有害生物(老鼠、蟑螂、蚊虫、蚁类)服务(需资质除外)</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灭各类有害生物(老鼠、蟑螂、蚊虫、蚁类)服务(需资质除外)所涉及的相关环境管理活动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灭各类有害生物(老鼠、蟑螂、蚊虫、蚁类)服务(需资质除外)所涉及的相关职业健康安全管理活动</w:t>
      </w:r>
      <w:r>
        <w:rPr>
          <w:rFonts w:hint="eastAsia" w:ascii="宋体" w:hAnsi="宋体"/>
          <w:szCs w:val="21"/>
          <w:lang w:eastAsia="zh-CN"/>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1827530</wp:posOffset>
            </wp:positionH>
            <wp:positionV relativeFrom="paragraph">
              <wp:posOffset>288290</wp:posOffset>
            </wp:positionV>
            <wp:extent cx="421640" cy="436245"/>
            <wp:effectExtent l="0" t="0" r="5080" b="571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6"/>
                    <a:stretch>
                      <a:fillRect/>
                    </a:stretch>
                  </pic:blipFill>
                  <pic:spPr>
                    <a:xfrm>
                      <a:off x="0" y="0"/>
                      <a:ext cx="421640" cy="43624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color w:val="000000"/>
        </w:rPr>
      </w:pPr>
      <w:r>
        <w:rPr>
          <w:rFonts w:ascii="宋体" w:hAnsi="宋体"/>
          <w:sz w:val="24"/>
        </w:rPr>
        <w:drawing>
          <wp:anchor distT="0" distB="0" distL="0" distR="0" simplePos="0" relativeHeight="251658240" behindDoc="0" locked="0" layoutInCell="1" allowOverlap="1">
            <wp:simplePos x="0" y="0"/>
            <wp:positionH relativeFrom="column">
              <wp:posOffset>1787525</wp:posOffset>
            </wp:positionH>
            <wp:positionV relativeFrom="paragraph">
              <wp:posOffset>63500</wp:posOffset>
            </wp:positionV>
            <wp:extent cx="579755" cy="361315"/>
            <wp:effectExtent l="0" t="0" r="14605" b="4445"/>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7" cstate="print"/>
                    <a:srcRect/>
                    <a:stretch>
                      <a:fillRect/>
                    </a:stretch>
                  </pic:blipFill>
                  <pic:spPr>
                    <a:xfrm>
                      <a:off x="0" y="0"/>
                      <a:ext cx="579755" cy="36131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rPr>
        <w:t>20</w:t>
      </w:r>
      <w:r>
        <w:rPr>
          <w:rFonts w:hint="eastAsia" w:ascii="宋体" w:hAnsi="宋体"/>
          <w:b/>
          <w:color w:val="000000"/>
          <w:sz w:val="24"/>
          <w:lang w:val="en-US" w:eastAsia="zh-CN"/>
        </w:rPr>
        <w:t>20</w:t>
      </w:r>
      <w:r>
        <w:rPr>
          <w:rFonts w:hint="eastAsia" w:ascii="宋体" w:hAnsi="宋体"/>
          <w:b/>
          <w:color w:val="000000"/>
          <w:sz w:val="24"/>
        </w:rPr>
        <w:t>.</w:t>
      </w:r>
      <w:r>
        <w:rPr>
          <w:rFonts w:hint="eastAsia" w:ascii="宋体" w:hAnsi="宋体"/>
          <w:b/>
          <w:color w:val="000000"/>
          <w:sz w:val="24"/>
          <w:lang w:val="en-US" w:eastAsia="zh-CN"/>
        </w:rPr>
        <w:t>4</w:t>
      </w:r>
      <w:r>
        <w:rPr>
          <w:rFonts w:hint="eastAsia" w:ascii="宋体" w:hAnsi="宋体"/>
          <w:b/>
          <w:color w:val="000000"/>
          <w:sz w:val="24"/>
        </w:rPr>
        <w:t>.</w:t>
      </w:r>
      <w:r>
        <w:rPr>
          <w:rFonts w:hint="eastAsia" w:ascii="宋体" w:hAnsi="宋体"/>
          <w:b/>
          <w:color w:val="000000"/>
          <w:sz w:val="24"/>
          <w:lang w:val="en-US" w:eastAsia="zh-CN"/>
        </w:rPr>
        <w:t>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Times New Roman" w:hAnsi="Times New Roman" w:eastAsia="宋体" w:cs="Times New Roman"/>
          <w:b/>
          <w:bCs/>
          <w:color w:val="000000"/>
          <w:kern w:val="2"/>
          <w:sz w:val="22"/>
          <w:szCs w:val="22"/>
          <w:lang w:val="en-US" w:eastAsia="zh-CN" w:bidi="ar-SA"/>
        </w:rPr>
        <w:t>遂宁市蓝盾有害生物防治有限公司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left"/>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558800</wp:posOffset>
                  </wp:positionH>
                  <wp:positionV relativeFrom="paragraph">
                    <wp:posOffset>100330</wp:posOffset>
                  </wp:positionV>
                  <wp:extent cx="421640" cy="436245"/>
                  <wp:effectExtent l="0" t="0" r="5080" b="5715"/>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6"/>
                          <a:stretch>
                            <a:fillRect/>
                          </a:stretch>
                        </pic:blipFill>
                        <pic:spPr>
                          <a:xfrm>
                            <a:off x="0" y="0"/>
                            <a:ext cx="421640" cy="436245"/>
                          </a:xfrm>
                          <a:prstGeom prst="rect">
                            <a:avLst/>
                          </a:prstGeom>
                          <a:noFill/>
                          <a:ln>
                            <a:noFill/>
                          </a:ln>
                        </pic:spPr>
                      </pic:pic>
                    </a:graphicData>
                  </a:graphic>
                </wp:anchor>
              </w:drawing>
            </w: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唐彩雪</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lang w:eastAsia="zh-CN"/>
              </w:rPr>
            </w:pPr>
            <w:r>
              <w:rPr>
                <w:rFonts w:hint="eastAsia"/>
                <w:b/>
                <w:sz w:val="22"/>
                <w:szCs w:val="22"/>
              </w:rPr>
              <w:drawing>
                <wp:anchor distT="0" distB="0" distL="114300" distR="114300" simplePos="0" relativeHeight="251667456" behindDoc="0" locked="0" layoutInCell="1" allowOverlap="1">
                  <wp:simplePos x="0" y="0"/>
                  <wp:positionH relativeFrom="column">
                    <wp:posOffset>570230</wp:posOffset>
                  </wp:positionH>
                  <wp:positionV relativeFrom="paragraph">
                    <wp:posOffset>210185</wp:posOffset>
                  </wp:positionV>
                  <wp:extent cx="421640" cy="436245"/>
                  <wp:effectExtent l="0" t="0" r="5080" b="571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pic:cNvPicPr>
                        </pic:nvPicPr>
                        <pic:blipFill>
                          <a:blip r:embed="rId6"/>
                          <a:stretch>
                            <a:fillRect/>
                          </a:stretch>
                        </pic:blipFill>
                        <pic:spPr>
                          <a:xfrm>
                            <a:off x="1016000" y="7273290"/>
                            <a:ext cx="421640" cy="436245"/>
                          </a:xfrm>
                          <a:prstGeom prst="rect">
                            <a:avLst/>
                          </a:prstGeom>
                          <a:noFill/>
                          <a:ln>
                            <a:noFill/>
                          </a:ln>
                        </pic:spPr>
                      </pic:pic>
                    </a:graphicData>
                  </a:graphic>
                </wp:anchor>
              </w:drawing>
            </w:r>
            <w:r>
              <w:rPr>
                <w:rFonts w:hint="eastAsia"/>
                <w:b/>
                <w:color w:val="000000"/>
                <w:spacing w:val="-10"/>
                <w:szCs w:val="21"/>
              </w:rPr>
              <w:t>推荐意见：■可进行二阶段审核□需再次安排一阶段审核□不进入二阶段审核</w:t>
            </w:r>
            <w:r>
              <w:rPr>
                <w:rFonts w:hint="eastAsia"/>
                <w:b/>
                <w:color w:val="000000"/>
                <w:spacing w:val="-10"/>
                <w:szCs w:val="21"/>
                <w:lang w:eastAsia="zh-CN"/>
              </w:rPr>
              <w:t>。</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DF5FC2"/>
    <w:rsid w:val="7B473402"/>
    <w:rsid w:val="7F100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2020-04-10T12:26:48Z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