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5411"/>
        <w:gridCol w:w="11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6945" w:type="dxa"/>
            <w:gridSpan w:val="3"/>
            <w:shd w:val="clear" w:color="auto" w:fill="E6E6E6"/>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5411"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09"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425"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5411" w:type="dxa"/>
            <w:vAlign w:val="top"/>
          </w:tcPr>
          <w:p>
            <w:pPr>
              <w:spacing w:line="0" w:lineRule="atLeast"/>
              <w:ind w:firstLine="420" w:firstLineChars="200"/>
              <w:jc w:val="left"/>
              <w:rPr>
                <w:rFonts w:hint="eastAsia" w:ascii="宋体" w:hAnsi="宋体" w:cs="Times New Roman"/>
                <w:szCs w:val="21"/>
              </w:rPr>
            </w:pPr>
            <w:r>
              <w:rPr>
                <w:rFonts w:hint="eastAsia" w:ascii="宋体" w:hAnsi="宋体" w:cs="Times New Roman"/>
                <w:szCs w:val="21"/>
              </w:rPr>
              <w:t>遂宁市蓝盾有害生物防治有限公司创建于20</w:t>
            </w:r>
            <w:r>
              <w:rPr>
                <w:rFonts w:hint="eastAsia" w:ascii="宋体" w:hAnsi="宋体" w:cs="Times New Roman"/>
                <w:szCs w:val="21"/>
                <w:lang w:val="en-US" w:eastAsia="zh-CN"/>
              </w:rPr>
              <w:t>10</w:t>
            </w:r>
            <w:r>
              <w:rPr>
                <w:rFonts w:hint="eastAsia" w:ascii="宋体" w:hAnsi="宋体" w:cs="Times New Roman"/>
                <w:szCs w:val="21"/>
              </w:rPr>
              <w:t>年</w:t>
            </w:r>
            <w:r>
              <w:rPr>
                <w:rFonts w:hint="eastAsia" w:ascii="宋体" w:hAnsi="宋体" w:cs="Times New Roman"/>
                <w:szCs w:val="21"/>
                <w:lang w:val="en-US" w:eastAsia="zh-CN"/>
              </w:rPr>
              <w:t>7月</w:t>
            </w:r>
            <w:r>
              <w:rPr>
                <w:rFonts w:hint="eastAsia" w:ascii="宋体" w:hAnsi="宋体" w:cs="Times New Roman"/>
                <w:szCs w:val="21"/>
              </w:rPr>
              <w:t>，是</w:t>
            </w:r>
            <w:r>
              <w:rPr>
                <w:rFonts w:hint="eastAsia" w:ascii="宋体" w:hAnsi="宋体" w:cs="Times New Roman"/>
                <w:szCs w:val="21"/>
                <w:lang w:eastAsia="zh-CN"/>
              </w:rPr>
              <w:t>一家专业从事</w:t>
            </w:r>
            <w:r>
              <w:rPr>
                <w:rFonts w:hint="eastAsia" w:ascii="宋体" w:hAnsi="宋体" w:cs="Times New Roman"/>
                <w:szCs w:val="21"/>
              </w:rPr>
              <w:t>灭各类有害生物(老鼠、蟑螂、蚊虫、蚁类)服务(需资质除外)</w:t>
            </w:r>
            <w:r>
              <w:rPr>
                <w:rFonts w:hint="eastAsia" w:ascii="宋体" w:hAnsi="宋体" w:cs="Times New Roman"/>
                <w:szCs w:val="21"/>
                <w:lang w:eastAsia="zh-CN"/>
              </w:rPr>
              <w:t>的公司</w:t>
            </w:r>
            <w:r>
              <w:rPr>
                <w:rFonts w:hint="eastAsia" w:ascii="宋体" w:hAnsi="宋体" w:cs="Times New Roman"/>
                <w:szCs w:val="21"/>
                <w:lang w:val="en-US" w:eastAsia="zh-CN"/>
              </w:rPr>
              <w:t>。</w:t>
            </w:r>
            <w:r>
              <w:rPr>
                <w:rFonts w:hint="eastAsia" w:ascii="宋体" w:hAnsi="宋体" w:cs="Times New Roman"/>
                <w:szCs w:val="21"/>
              </w:rPr>
              <w:t>现有员工</w:t>
            </w:r>
            <w:r>
              <w:rPr>
                <w:rFonts w:hint="eastAsia" w:ascii="宋体" w:hAnsi="宋体" w:cs="Times New Roman"/>
                <w:szCs w:val="21"/>
                <w:lang w:val="en-US" w:eastAsia="zh-CN"/>
              </w:rPr>
              <w:t>10</w:t>
            </w:r>
            <w:r>
              <w:rPr>
                <w:rFonts w:hint="eastAsia" w:ascii="宋体" w:hAnsi="宋体" w:cs="Times New Roman"/>
                <w:szCs w:val="21"/>
              </w:rPr>
              <w:t>人，目前经营情况良好。</w:t>
            </w:r>
          </w:p>
          <w:p>
            <w:pPr>
              <w:spacing w:line="0" w:lineRule="atLeas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查见企业营业执照副本，企业经营范围包含认证产品，具备有效资格，详见复印件</w:t>
            </w:r>
            <w:r>
              <w:rPr>
                <w:rFonts w:hint="eastAsia" w:ascii="宋体" w:hAnsi="宋体" w:eastAsia="宋体" w:cs="Times New Roman"/>
                <w:kern w:val="2"/>
                <w:sz w:val="21"/>
                <w:szCs w:val="21"/>
                <w:lang w:val="en-US" w:eastAsia="zh-CN" w:bidi="ar-SA"/>
              </w:rPr>
              <w:t>。</w:t>
            </w: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eastAsia="zh-CN"/>
              </w:rPr>
              <w:t>四</w:t>
            </w:r>
            <w:r>
              <w:rPr>
                <w:rFonts w:hint="eastAsia" w:ascii="宋体" w:hAnsi="宋体"/>
                <w:szCs w:val="21"/>
              </w:rPr>
              <w:t>个部门：</w:t>
            </w:r>
            <w:r>
              <w:rPr>
                <w:rFonts w:hint="eastAsia" w:ascii="宋体" w:hAnsi="宋体"/>
                <w:szCs w:val="21"/>
                <w:lang w:eastAsia="zh-CN"/>
              </w:rPr>
              <w:t>行政部</w:t>
            </w:r>
            <w:r>
              <w:rPr>
                <w:rFonts w:hint="eastAsia" w:ascii="宋体" w:hAnsi="宋体"/>
                <w:szCs w:val="21"/>
              </w:rPr>
              <w:t>、</w:t>
            </w:r>
            <w:r>
              <w:rPr>
                <w:rFonts w:hint="eastAsia" w:ascii="宋体" w:hAnsi="宋体"/>
                <w:szCs w:val="21"/>
                <w:lang w:eastAsia="zh-CN"/>
              </w:rPr>
              <w:t>技术部</w:t>
            </w:r>
            <w:r>
              <w:rPr>
                <w:rFonts w:hint="eastAsia" w:ascii="宋体" w:hAnsi="宋体"/>
                <w:szCs w:val="21"/>
              </w:rPr>
              <w:t>、</w:t>
            </w:r>
            <w:r>
              <w:rPr>
                <w:rFonts w:hint="eastAsia" w:ascii="宋体" w:hAnsi="宋体"/>
                <w:szCs w:val="21"/>
                <w:lang w:eastAsia="zh-CN"/>
              </w:rPr>
              <w:t>供销</w:t>
            </w:r>
            <w:r>
              <w:rPr>
                <w:rFonts w:hint="eastAsia" w:ascii="宋体" w:hAnsi="宋体"/>
                <w:szCs w:val="21"/>
              </w:rPr>
              <w:t>部</w:t>
            </w:r>
            <w:r>
              <w:rPr>
                <w:rFonts w:hint="eastAsia" w:ascii="宋体" w:hAnsi="宋体"/>
                <w:szCs w:val="21"/>
                <w:lang w:eastAsia="zh-CN"/>
              </w:rPr>
              <w:t>、财务部</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ascii="宋体" w:hAnsi="宋体"/>
                <w:szCs w:val="21"/>
              </w:rPr>
            </w:pPr>
            <w:r>
              <w:rPr>
                <w:rFonts w:hint="eastAsia" w:ascii="宋体" w:hAnsi="宋体"/>
                <w:szCs w:val="21"/>
              </w:rPr>
              <w:t>核实：</w:t>
            </w:r>
            <w:r>
              <w:rPr>
                <w:rFonts w:hint="eastAsia"/>
                <w:color w:val="000000"/>
                <w:szCs w:val="21"/>
                <w:lang w:val="de-DE"/>
              </w:rPr>
              <w:t>生产经营地址：</w:t>
            </w:r>
            <w:bookmarkStart w:id="0" w:name="生产地址"/>
            <w:r>
              <w:t>遂宁市船山区燕山路113附14号第一层</w:t>
            </w:r>
            <w:bookmarkEnd w:id="0"/>
            <w:r>
              <w:rPr>
                <w:rFonts w:hint="eastAsia"/>
                <w:color w:val="000000"/>
                <w:szCs w:val="21"/>
                <w:lang w:val="de-DE"/>
              </w:rPr>
              <w:t>，与</w:t>
            </w:r>
            <w:r>
              <w:rPr>
                <w:rFonts w:hint="eastAsia" w:ascii="宋体" w:hAnsi="宋体"/>
                <w:szCs w:val="21"/>
              </w:rPr>
              <w:t>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rFonts w:hint="eastAsia" w:ascii="宋体" w:hAnsi="宋体"/>
                <w:szCs w:val="21"/>
                <w:lang w:eastAsia="zh-CN"/>
              </w:rPr>
            </w:pPr>
            <w:r>
              <w:rPr>
                <w:rFonts w:ascii="宋体" w:hAnsi="宋体"/>
                <w:b/>
                <w:color w:val="000000"/>
                <w:sz w:val="20"/>
                <w:szCs w:val="20"/>
              </w:rPr>
              <w:t>QMS:</w:t>
            </w:r>
            <w:r>
              <w:rPr>
                <w:rFonts w:hint="eastAsia" w:ascii="宋体" w:hAnsi="宋体"/>
                <w:szCs w:val="21"/>
              </w:rPr>
              <w:t>灭各类有害生物(老鼠、蟑螂、蚊虫、蚁类)服务(需资质除外)</w:t>
            </w:r>
            <w:r>
              <w:rPr>
                <w:rFonts w:hint="eastAsia" w:ascii="宋体" w:hAnsi="宋体"/>
                <w:szCs w:val="21"/>
                <w:lang w:eastAsia="zh-CN"/>
              </w:rPr>
              <w:t>。</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灭各类有害生物(老鼠、蟑螂、蚊虫、蚁类)服务(需资质除外)所涉及的相关环境管理活动</w:t>
            </w:r>
            <w:r>
              <w:rPr>
                <w:rFonts w:hint="eastAsia" w:ascii="宋体" w:hAnsi="宋体"/>
                <w:szCs w:val="21"/>
                <w:lang w:eastAsia="zh-CN"/>
              </w:rPr>
              <w:t>。</w:t>
            </w:r>
          </w:p>
          <w:p>
            <w:pPr>
              <w:jc w:val="both"/>
              <w:rPr>
                <w:rFonts w:hint="eastAsia" w:ascii="宋体" w:hAnsi="宋体" w:eastAsia="宋体"/>
                <w:szCs w:val="21"/>
                <w:lang w:eastAsia="zh-CN"/>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灭各类有害生物(老鼠、蟑螂、蚊虫、蚁类)服务(需资质除外)所涉及的相关职业健康安全管理活动</w:t>
            </w:r>
            <w:r>
              <w:rPr>
                <w:rFonts w:hint="eastAsia" w:ascii="宋体" w:hAnsi="宋体"/>
                <w:szCs w:val="21"/>
                <w:lang w:eastAsia="zh-CN"/>
              </w:rPr>
              <w:t>。</w:t>
            </w:r>
          </w:p>
          <w:p>
            <w:pPr>
              <w:spacing w:line="400" w:lineRule="exact"/>
              <w:ind w:firstLine="420" w:firstLineChars="200"/>
              <w:jc w:val="left"/>
              <w:rPr>
                <w:rFonts w:ascii="宋体" w:hAnsi="宋体" w:cs="宋体"/>
                <w:szCs w:val="21"/>
              </w:rPr>
            </w:pPr>
            <w:r>
              <w:rPr>
                <w:rFonts w:hint="eastAsia" w:ascii="宋体" w:hAnsi="宋体"/>
                <w:szCs w:val="21"/>
              </w:rPr>
              <w:t>   询问，</w:t>
            </w:r>
            <w:r>
              <w:rPr>
                <w:rFonts w:hint="eastAsia" w:ascii="宋体" w:hAnsi="宋体" w:cs="宋体"/>
                <w:szCs w:val="21"/>
              </w:rPr>
              <w:t>主要设备为喷药设备、应急防护包、灭火器、梯子、溢漏应急包、工作警示牌、个人防护装备（如：工作服、呼吸面具、安全帽、护目镜等）及办公设备等，关键过程：</w:t>
            </w:r>
            <w:r>
              <w:rPr>
                <w:rFonts w:hint="eastAsia" w:ascii="宋体" w:hAnsi="宋体"/>
                <w:color w:val="000000"/>
                <w:szCs w:val="21"/>
                <w:highlight w:val="none"/>
              </w:rPr>
              <w:t>防治实施</w:t>
            </w:r>
            <w:r>
              <w:rPr>
                <w:rFonts w:hint="eastAsia" w:ascii="宋体" w:hAnsi="宋体" w:cs="宋体"/>
                <w:szCs w:val="21"/>
              </w:rPr>
              <w:t>过程。查体系运行时间：2019年</w:t>
            </w:r>
            <w:r>
              <w:rPr>
                <w:rFonts w:hint="eastAsia" w:ascii="宋体" w:hAnsi="宋体" w:cs="宋体"/>
                <w:szCs w:val="21"/>
                <w:lang w:val="en-US" w:eastAsia="zh-CN"/>
              </w:rPr>
              <w:t>8</w:t>
            </w:r>
            <w:r>
              <w:rPr>
                <w:rFonts w:hint="eastAsia" w:ascii="宋体" w:hAnsi="宋体" w:cs="宋体"/>
                <w:szCs w:val="21"/>
              </w:rPr>
              <w:t>月1日。</w:t>
            </w:r>
          </w:p>
          <w:p>
            <w:pPr>
              <w:spacing w:line="400" w:lineRule="exact"/>
              <w:jc w:val="left"/>
              <w:rPr>
                <w:rFonts w:ascii="宋体" w:hAnsi="宋体" w:cs="宋体"/>
                <w:szCs w:val="21"/>
              </w:rPr>
            </w:pP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w:t>
            </w:r>
            <w:r>
              <w:rPr>
                <w:rFonts w:hint="eastAsia" w:ascii="宋体" w:hAnsi="宋体"/>
                <w:szCs w:val="21"/>
                <w:lang w:eastAsia="zh-CN"/>
              </w:rPr>
              <w:t>行政部</w:t>
            </w:r>
            <w:r>
              <w:rPr>
                <w:rFonts w:hint="eastAsia" w:ascii="宋体" w:hAnsi="宋体"/>
                <w:szCs w:val="21"/>
              </w:rPr>
              <w:t>、</w:t>
            </w:r>
            <w:r>
              <w:rPr>
                <w:rFonts w:hint="eastAsia" w:ascii="宋体" w:hAnsi="宋体"/>
                <w:szCs w:val="21"/>
                <w:lang w:eastAsia="zh-CN"/>
              </w:rPr>
              <w:t>技术部</w:t>
            </w:r>
            <w:r>
              <w:rPr>
                <w:rFonts w:hint="eastAsia" w:ascii="宋体" w:hAnsi="宋体"/>
                <w:szCs w:val="21"/>
              </w:rPr>
              <w:t>、</w:t>
            </w:r>
            <w:r>
              <w:rPr>
                <w:rFonts w:hint="eastAsia" w:ascii="宋体" w:hAnsi="宋体"/>
                <w:szCs w:val="21"/>
                <w:lang w:eastAsia="zh-CN"/>
              </w:rPr>
              <w:t>供销</w:t>
            </w:r>
            <w:r>
              <w:rPr>
                <w:rFonts w:hint="eastAsia" w:ascii="宋体" w:hAnsi="宋体"/>
                <w:szCs w:val="21"/>
              </w:rPr>
              <w:t>部</w:t>
            </w:r>
            <w:r>
              <w:rPr>
                <w:rFonts w:hint="eastAsia" w:ascii="宋体" w:hAnsi="宋体"/>
                <w:szCs w:val="21"/>
                <w:lang w:eastAsia="zh-CN"/>
              </w:rPr>
              <w:t>、财务部</w:t>
            </w:r>
            <w:r>
              <w:rPr>
                <w:rFonts w:hint="eastAsia" w:ascii="宋体" w:hAnsi="宋体"/>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w:t>
            </w:r>
            <w:r>
              <w:rPr>
                <w:rFonts w:hint="eastAsia" w:ascii="宋体" w:hAnsi="宋体"/>
                <w:kern w:val="44"/>
                <w:szCs w:val="21"/>
                <w:lang w:val="en-US" w:eastAsia="zh-CN"/>
              </w:rPr>
              <w:t>31</w:t>
            </w:r>
            <w:r>
              <w:rPr>
                <w:rFonts w:hint="eastAsia" w:ascii="宋体" w:hAnsi="宋体"/>
                <w:kern w:val="44"/>
                <w:szCs w:val="21"/>
              </w:rPr>
              <w:t>个。</w:t>
            </w:r>
          </w:p>
        </w:tc>
        <w:tc>
          <w:tcPr>
            <w:tcW w:w="1109" w:type="dxa"/>
            <w:vAlign w:val="top"/>
          </w:tcPr>
          <w:p>
            <w:pPr>
              <w:adjustRightInd w:val="0"/>
              <w:snapToGrid w:val="0"/>
              <w:rPr>
                <w:rFonts w:ascii="宋体" w:hAnsi="宋体" w:cs="宋体"/>
                <w:szCs w:val="21"/>
              </w:rPr>
            </w:pPr>
            <w:r>
              <w:rPr>
                <w:rFonts w:hint="eastAsia" w:ascii="宋体" w:hAnsi="宋体"/>
                <w:szCs w:val="21"/>
                <w:lang w:val="en-US" w:eastAsia="zh-CN"/>
              </w:rPr>
              <w:t>Q/E/S:</w:t>
            </w:r>
            <w:r>
              <w:rPr>
                <w:rFonts w:hint="eastAsia" w:ascii="宋体" w:hAnsi="宋体" w:cs="宋体"/>
                <w:szCs w:val="21"/>
              </w:rPr>
              <w:t>4.1;4.2;4.3;4.4</w:t>
            </w:r>
          </w:p>
          <w:p>
            <w:pPr>
              <w:spacing w:line="440" w:lineRule="exact"/>
              <w:jc w:val="center"/>
              <w:rPr>
                <w:rFonts w:hint="default" w:ascii="宋体" w:hAnsi="宋体" w:eastAsia="宋体"/>
                <w:szCs w:val="21"/>
                <w:lang w:val="en-US" w:eastAsia="zh-CN"/>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eastAsia="宋体" w:cs="Times New Roman"/>
                <w:kern w:val="2"/>
                <w:sz w:val="21"/>
                <w:szCs w:val="21"/>
                <w:lang w:val="en-US" w:eastAsia="zh-CN" w:bidi="ar-SA"/>
              </w:rPr>
            </w:pPr>
          </w:p>
        </w:tc>
        <w:tc>
          <w:tcPr>
            <w:tcW w:w="425"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5411" w:type="dxa"/>
            <w:vAlign w:val="top"/>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w:t>
            </w:r>
            <w:r>
              <w:rPr>
                <w:rFonts w:hint="eastAsia" w:asciiTheme="minorEastAsia" w:hAnsiTheme="minorEastAsia" w:eastAsiaTheme="minorEastAsia" w:cstheme="minorEastAsia"/>
                <w:b w:val="0"/>
                <w:bCs w:val="0"/>
                <w:sz w:val="21"/>
                <w:szCs w:val="21"/>
                <w:lang w:eastAsia="zh-CN"/>
              </w:rPr>
              <w:t>、环境、职业健康安全</w:t>
            </w:r>
            <w:r>
              <w:rPr>
                <w:rFonts w:hint="eastAsia" w:asciiTheme="minorEastAsia" w:hAnsiTheme="minorEastAsia" w:eastAsiaTheme="minorEastAsia" w:cstheme="minorEastAsia"/>
                <w:b w:val="0"/>
                <w:bCs w:val="0"/>
                <w:sz w:val="21"/>
                <w:szCs w:val="21"/>
              </w:rPr>
              <w:t>方针：</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质量方针：</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w:t>
            </w:r>
            <w:r>
              <w:rPr>
                <w:rFonts w:hint="eastAsia" w:ascii="宋体" w:hAnsi="宋体" w:cs="宋体"/>
                <w:b w:val="0"/>
                <w:bCs w:val="0"/>
                <w:sz w:val="21"/>
                <w:szCs w:val="21"/>
              </w:rPr>
              <w:t>以质为本、诚信经营、顾客满意、持续改进、以及认真仔细，快速响应，坚守承诺，精益求精,为顾客提供优质的产品</w:t>
            </w:r>
            <w:r>
              <w:rPr>
                <w:rFonts w:hint="eastAsia" w:asciiTheme="minorEastAsia" w:hAnsiTheme="minorEastAsia" w:eastAsiaTheme="minorEastAsia" w:cstheme="minorEastAsia"/>
                <w:b w:val="0"/>
                <w:bCs w:val="0"/>
                <w:sz w:val="21"/>
                <w:szCs w:val="21"/>
              </w:rPr>
              <w:t>”。</w:t>
            </w:r>
          </w:p>
          <w:p>
            <w:pPr>
              <w:rPr>
                <w:rFonts w:hint="eastAsia" w:asciiTheme="minorEastAsia" w:hAnsiTheme="minorEastAsia" w:eastAsiaTheme="minorEastAsia" w:cstheme="minorEastAsia"/>
                <w:b w:val="0"/>
                <w:bCs w:val="0"/>
                <w:sz w:val="21"/>
                <w:szCs w:val="21"/>
                <w:lang w:eastAsia="zh-CN"/>
              </w:rPr>
            </w:pPr>
          </w:p>
          <w:p>
            <w:pPr>
              <w:ind w:firstLine="210" w:firstLineChars="1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环境、职业健康安全方针：</w:t>
            </w:r>
          </w:p>
          <w:p>
            <w:pPr>
              <w:spacing w:line="360" w:lineRule="auto"/>
              <w:jc w:val="lef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宋体" w:hAnsi="宋体" w:cs="宋体"/>
                <w:b w:val="0"/>
                <w:bCs w:val="0"/>
                <w:sz w:val="21"/>
                <w:szCs w:val="21"/>
              </w:rPr>
              <w:t>以人为本   关爱生命  保护环境  珍惜资源  和谐发展</w:t>
            </w:r>
            <w:r>
              <w:rPr>
                <w:rFonts w:hint="eastAsia" w:asciiTheme="minorEastAsia" w:hAnsiTheme="minorEastAsia" w:eastAsiaTheme="minorEastAsia" w:cstheme="minorEastAsia"/>
                <w:b w:val="0"/>
                <w:bCs w:val="0"/>
                <w:sz w:val="21"/>
                <w:szCs w:val="21"/>
                <w:lang w:eastAsia="zh-CN"/>
              </w:rPr>
              <w:t>”。</w:t>
            </w:r>
          </w:p>
          <w:p>
            <w:pPr>
              <w:pStyle w:val="2"/>
              <w:numPr>
                <w:ilvl w:val="0"/>
                <w:numId w:val="1"/>
              </w:numPr>
              <w:spacing w:line="360" w:lineRule="auto"/>
              <w:ind w:right="151" w:rightChars="72"/>
              <w:rPr>
                <w:rFonts w:ascii="宋体" w:hAnsi="宋体" w:cs="宋体"/>
                <w:color w:val="000000"/>
                <w:szCs w:val="21"/>
              </w:rPr>
            </w:pPr>
            <w:r>
              <w:rPr>
                <w:rFonts w:hint="eastAsia" w:asciiTheme="minorEastAsia" w:hAnsiTheme="minorEastAsia" w:eastAsiaTheme="minorEastAsia" w:cstheme="minorEastAsia"/>
                <w:b w:val="0"/>
                <w:bCs/>
                <w:color w:val="000000"/>
                <w:sz w:val="21"/>
                <w:szCs w:val="21"/>
              </w:rPr>
              <w:t> </w:t>
            </w:r>
            <w:r>
              <w:rPr>
                <w:rFonts w:hint="eastAsia" w:ascii="宋体" w:hAnsi="宋体" w:cs="宋体"/>
                <w:color w:val="000000"/>
                <w:szCs w:val="21"/>
              </w:rPr>
              <w:t>质量目标：</w:t>
            </w:r>
          </w:p>
          <w:p>
            <w:pPr>
              <w:numPr>
                <w:ilvl w:val="0"/>
                <w:numId w:val="2"/>
              </w:numPr>
              <w:snapToGrid w:val="0"/>
              <w:spacing w:line="420" w:lineRule="exact"/>
              <w:ind w:firstLine="420" w:firstLineChars="200"/>
              <w:rPr>
                <w:rFonts w:ascii="宋体" w:hAnsi="宋体" w:cs="宋体"/>
                <w:color w:val="000000"/>
                <w:sz w:val="21"/>
                <w:szCs w:val="21"/>
              </w:rPr>
            </w:pPr>
            <w:r>
              <w:rPr>
                <w:rFonts w:hint="eastAsia" w:ascii="宋体" w:hAnsi="宋体" w:cs="宋体"/>
                <w:color w:val="000000"/>
                <w:sz w:val="21"/>
                <w:szCs w:val="21"/>
                <w:lang w:eastAsia="zh-CN"/>
              </w:rPr>
              <w:t>采购产品合格率≥99%</w:t>
            </w:r>
            <w:r>
              <w:rPr>
                <w:rFonts w:hint="eastAsia" w:ascii="宋体" w:hAnsi="宋体" w:cs="宋体"/>
                <w:color w:val="000000"/>
                <w:sz w:val="21"/>
                <w:szCs w:val="21"/>
              </w:rPr>
              <w:t>；</w:t>
            </w:r>
          </w:p>
          <w:p>
            <w:pPr>
              <w:numPr>
                <w:ilvl w:val="0"/>
                <w:numId w:val="2"/>
              </w:numPr>
              <w:snapToGrid w:val="0"/>
              <w:spacing w:line="420" w:lineRule="exact"/>
              <w:ind w:firstLine="420" w:firstLineChars="200"/>
              <w:rPr>
                <w:rFonts w:ascii="宋体" w:hAnsi="宋体" w:cs="宋体"/>
                <w:color w:val="000000"/>
                <w:sz w:val="21"/>
                <w:szCs w:val="21"/>
              </w:rPr>
            </w:pPr>
            <w:r>
              <w:rPr>
                <w:rFonts w:hint="eastAsia" w:ascii="宋体" w:hAnsi="宋体" w:cs="宋体"/>
                <w:color w:val="000000"/>
                <w:sz w:val="21"/>
                <w:szCs w:val="21"/>
              </w:rPr>
              <w:t>顾客满意度≥90%，并逐年上升。</w:t>
            </w:r>
          </w:p>
          <w:p>
            <w:pPr>
              <w:snapToGrid w:val="0"/>
              <w:spacing w:line="420" w:lineRule="exact"/>
              <w:rPr>
                <w:rFonts w:ascii="宋体" w:hAnsi="宋体" w:cs="宋体"/>
                <w:color w:val="000000"/>
                <w:szCs w:val="21"/>
              </w:rPr>
            </w:pPr>
            <w:r>
              <w:rPr>
                <w:rFonts w:hint="eastAsia" w:ascii="宋体" w:hAnsi="宋体" w:cs="宋体"/>
                <w:color w:val="000000"/>
                <w:szCs w:val="21"/>
              </w:rPr>
              <w:t>2、环境、职业健康安全目标：</w:t>
            </w:r>
          </w:p>
          <w:p>
            <w:p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rPr>
              <w:t>1）固废回收处理率100%；</w:t>
            </w:r>
          </w:p>
          <w:p>
            <w:p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rPr>
              <w:t>2）火灾事故发生为0；</w:t>
            </w:r>
          </w:p>
          <w:p>
            <w:pPr>
              <w:snapToGrid w:val="0"/>
              <w:spacing w:line="420" w:lineRule="exact"/>
              <w:ind w:firstLine="420" w:firstLineChars="200"/>
              <w:rPr>
                <w:rFonts w:hint="eastAsia" w:asciiTheme="minorEastAsia" w:hAnsiTheme="minorEastAsia" w:eastAsiaTheme="minorEastAsia" w:cstheme="minorEastAsia"/>
                <w:b w:val="0"/>
                <w:bCs w:val="0"/>
                <w:sz w:val="21"/>
                <w:szCs w:val="21"/>
              </w:rPr>
            </w:pPr>
            <w:r>
              <w:rPr>
                <w:rFonts w:hint="eastAsia" w:ascii="宋体" w:hAnsi="宋体" w:cs="宋体"/>
                <w:color w:val="000000"/>
                <w:szCs w:val="21"/>
              </w:rPr>
              <w:t>3）职业病发生为0。</w:t>
            </w:r>
          </w:p>
          <w:p>
            <w:pPr>
              <w:spacing w:line="360" w:lineRule="auto"/>
              <w:jc w:val="left"/>
              <w:rPr>
                <w:rFonts w:ascii="宋体" w:hAnsi="宋体"/>
                <w:szCs w:val="21"/>
              </w:rPr>
            </w:pPr>
            <w:r>
              <w:rPr>
                <w:rFonts w:hint="eastAsia" w:asciiTheme="minorEastAsia" w:hAnsiTheme="minorEastAsia" w:eastAsiaTheme="minorEastAsia" w:cstheme="minorEastAsia"/>
                <w:b w:val="0"/>
                <w:bCs w:val="0"/>
                <w:sz w:val="21"/>
                <w:szCs w:val="21"/>
              </w:rPr>
              <w:t>拟定有管理方案和预案。</w:t>
            </w:r>
          </w:p>
        </w:tc>
        <w:tc>
          <w:tcPr>
            <w:tcW w:w="1109" w:type="dxa"/>
            <w:vAlign w:val="top"/>
          </w:tcPr>
          <w:p>
            <w:pPr>
              <w:adjustRightInd w:val="0"/>
              <w:snapToGrid w:val="0"/>
              <w:rPr>
                <w:rFonts w:ascii="宋体" w:hAnsi="宋体" w:cs="宋体"/>
                <w:szCs w:val="21"/>
              </w:rPr>
            </w:pPr>
            <w:r>
              <w:rPr>
                <w:rFonts w:hint="eastAsia" w:ascii="宋体" w:hAnsi="宋体"/>
                <w:szCs w:val="21"/>
                <w:lang w:val="en-US" w:eastAsia="zh-CN"/>
              </w:rPr>
              <w:t>Q/E/S:</w:t>
            </w:r>
            <w:r>
              <w:rPr>
                <w:rFonts w:hint="eastAsia" w:ascii="宋体" w:hAnsi="宋体" w:cs="宋体"/>
                <w:szCs w:val="21"/>
                <w:lang w:val="en-US" w:eastAsia="zh-CN"/>
              </w:rPr>
              <w:t>5</w:t>
            </w: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.2</w:t>
            </w:r>
          </w:p>
          <w:p>
            <w:pPr>
              <w:spacing w:line="440" w:lineRule="exact"/>
              <w:jc w:val="center"/>
              <w:rPr>
                <w:rFonts w:ascii="宋体" w:hAnsi="宋体" w:eastAsia="宋体" w:cs="Times New Roman"/>
                <w:kern w:val="2"/>
                <w:sz w:val="21"/>
                <w:szCs w:val="21"/>
                <w:lang w:val="en-US" w:eastAsia="zh-CN" w:bidi="ar-SA"/>
              </w:rPr>
            </w:pPr>
          </w:p>
        </w:tc>
        <w:tc>
          <w:tcPr>
            <w:tcW w:w="425" w:type="dxa"/>
            <w:vAlign w:val="top"/>
          </w:tcPr>
          <w:p>
            <w:pPr>
              <w:spacing w:line="360" w:lineRule="auto"/>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符合</w:t>
            </w:r>
          </w:p>
          <w:p>
            <w:pPr>
              <w:spacing w:line="440" w:lineRule="exact"/>
              <w:jc w:val="center"/>
              <w:rPr>
                <w:rFonts w:hint="default"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eastAsia="宋体" w:cs="Times New Roman"/>
                <w:kern w:val="2"/>
                <w:sz w:val="21"/>
                <w:szCs w:val="21"/>
                <w:lang w:val="en-US" w:eastAsia="zh-CN" w:bidi="ar-SA"/>
              </w:rPr>
            </w:pPr>
          </w:p>
        </w:tc>
        <w:tc>
          <w:tcPr>
            <w:tcW w:w="5411" w:type="dxa"/>
            <w:vAlign w:val="top"/>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hint="default" w:ascii="宋体" w:hAnsi="宋体" w:eastAsia="宋体"/>
                <w:szCs w:val="21"/>
                <w:lang w:val="en-US" w:eastAsia="zh-CN"/>
              </w:rPr>
            </w:pPr>
            <w:r>
              <w:rPr>
                <w:rFonts w:hint="eastAsia" w:ascii="宋体" w:hAnsi="宋体"/>
                <w:szCs w:val="21"/>
              </w:rPr>
              <w:t>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11日</w:t>
            </w:r>
          </w:p>
          <w:p>
            <w:pPr>
              <w:spacing w:line="400" w:lineRule="exact"/>
              <w:rPr>
                <w:szCs w:val="21"/>
              </w:rPr>
            </w:pPr>
            <w:r>
              <w:rPr>
                <w:rFonts w:hint="eastAsia" w:ascii="宋体" w:hAnsi="宋体"/>
                <w:szCs w:val="21"/>
              </w:rPr>
              <w:t>内审组：</w:t>
            </w:r>
            <w:r>
              <w:rPr>
                <w:rFonts w:hint="eastAsia" w:ascii="宋体" w:hAnsi="宋体"/>
                <w:szCs w:val="21"/>
                <w:lang w:eastAsia="zh-CN"/>
              </w:rPr>
              <w:t>唐彩雪</w:t>
            </w:r>
            <w:r>
              <w:rPr>
                <w:rFonts w:hint="eastAsia"/>
                <w:szCs w:val="21"/>
              </w:rPr>
              <w:t>（组长）、</w:t>
            </w:r>
            <w:r>
              <w:rPr>
                <w:rFonts w:hint="eastAsia" w:ascii="宋体" w:hAnsi="宋体"/>
                <w:szCs w:val="21"/>
                <w:lang w:eastAsia="zh-CN"/>
              </w:rPr>
              <w:t>黄俊强</w:t>
            </w:r>
            <w:r>
              <w:rPr>
                <w:rFonts w:hint="eastAsia"/>
                <w:szCs w:val="21"/>
              </w:rPr>
              <w:t>（组员）。</w:t>
            </w:r>
          </w:p>
          <w:p>
            <w:pPr>
              <w:spacing w:line="400" w:lineRule="exact"/>
              <w:rPr>
                <w:rFonts w:hint="eastAsia" w:ascii="宋体" w:hAnsi="宋体"/>
                <w:szCs w:val="21"/>
                <w:highlight w:val="none"/>
              </w:rPr>
            </w:pPr>
            <w:r>
              <w:rPr>
                <w:rFonts w:hint="eastAsia" w:ascii="宋体" w:hAnsi="宋体"/>
                <w:szCs w:val="21"/>
              </w:rPr>
              <w:t>见有：《内审不符合</w:t>
            </w:r>
            <w:r>
              <w:rPr>
                <w:rFonts w:hint="eastAsia" w:ascii="宋体" w:hAnsi="宋体"/>
                <w:szCs w:val="21"/>
                <w:highlight w:val="none"/>
              </w:rPr>
              <w:t>项报告</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份，涉及</w:t>
            </w:r>
            <w:r>
              <w:rPr>
                <w:rFonts w:hint="eastAsia" w:ascii="宋体" w:hAnsi="宋体"/>
                <w:szCs w:val="21"/>
                <w:highlight w:val="none"/>
                <w:lang w:eastAsia="zh-CN"/>
              </w:rPr>
              <w:t>行政部</w:t>
            </w:r>
            <w:r>
              <w:rPr>
                <w:rFonts w:hint="eastAsia" w:ascii="宋体" w:hAnsi="宋体"/>
                <w:szCs w:val="21"/>
                <w:highlight w:val="none"/>
                <w:lang w:val="en-US" w:eastAsia="zh-CN"/>
              </w:rPr>
              <w:t>Q/E/S7.5.3条</w:t>
            </w:r>
            <w:r>
              <w:rPr>
                <w:rFonts w:hint="eastAsia" w:ascii="宋体" w:hAnsi="宋体"/>
                <w:szCs w:val="21"/>
                <w:highlight w:val="none"/>
                <w:lang w:val="en-US" w:eastAsia="zh-CN"/>
              </w:rPr>
              <w:t>款</w:t>
            </w:r>
            <w:r>
              <w:rPr>
                <w:rFonts w:hint="eastAsia" w:ascii="宋体" w:hAnsi="宋体"/>
                <w:szCs w:val="21"/>
                <w:highlight w:val="none"/>
              </w:rPr>
              <w:t>“</w:t>
            </w:r>
            <w:r>
              <w:rPr>
                <w:rFonts w:hint="eastAsia" w:ascii="宋体" w:hAnsi="宋体"/>
                <w:szCs w:val="21"/>
                <w:highlight w:val="none"/>
                <w:lang w:eastAsia="zh-CN"/>
              </w:rPr>
              <w:t>办公室防火安全管理规则</w:t>
            </w:r>
            <w:r>
              <w:rPr>
                <w:rFonts w:hint="eastAsia" w:ascii="宋体" w:hAnsi="宋体"/>
                <w:szCs w:val="21"/>
                <w:highlight w:val="none"/>
              </w:rPr>
              <w:t>”为失效版本，未及时更新</w:t>
            </w:r>
            <w:r>
              <w:rPr>
                <w:rFonts w:hint="eastAsia" w:ascii="宋体" w:hAnsi="宋体"/>
                <w:szCs w:val="21"/>
                <w:highlight w:val="none"/>
                <w:lang w:eastAsia="zh-CN"/>
              </w:rPr>
              <w:t>。</w:t>
            </w:r>
            <w:r>
              <w:rPr>
                <w:rFonts w:hint="eastAsia" w:ascii="宋体" w:hAnsi="宋体"/>
                <w:szCs w:val="21"/>
                <w:highlight w:val="none"/>
              </w:rPr>
              <w:t>针对该不符合项，已及时采取纠正措施后，经内审员验证关闭。</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highlight w:val="none"/>
              </w:rPr>
              <w:t>有《内部审核报告》，有审核结论。</w:t>
            </w:r>
          </w:p>
        </w:tc>
        <w:tc>
          <w:tcPr>
            <w:tcW w:w="1109" w:type="dxa"/>
            <w:vAlign w:val="top"/>
          </w:tcPr>
          <w:p>
            <w:pPr>
              <w:adjustRightInd w:val="0"/>
              <w:snapToGrid w:val="0"/>
              <w:rPr>
                <w:rFonts w:hint="default" w:ascii="宋体" w:hAnsi="宋体" w:cs="宋体"/>
                <w:szCs w:val="21"/>
                <w:lang w:val="en-US"/>
              </w:rPr>
            </w:pPr>
            <w:r>
              <w:rPr>
                <w:rFonts w:hint="eastAsia" w:ascii="宋体" w:hAnsi="宋体"/>
                <w:szCs w:val="21"/>
                <w:lang w:val="en-US" w:eastAsia="zh-CN"/>
              </w:rPr>
              <w:t>Q/E/S:</w:t>
            </w:r>
            <w:r>
              <w:rPr>
                <w:rFonts w:hint="eastAsia" w:ascii="宋体" w:hAnsi="宋体" w:cs="宋体"/>
                <w:szCs w:val="21"/>
                <w:lang w:val="en-US" w:eastAsia="zh-CN"/>
              </w:rPr>
              <w:t>9.2</w:t>
            </w:r>
          </w:p>
          <w:p>
            <w:pPr>
              <w:spacing w:line="440" w:lineRule="exact"/>
              <w:jc w:val="center"/>
              <w:rPr>
                <w:rFonts w:ascii="宋体" w:hAnsi="宋体" w:eastAsia="宋体" w:cs="Times New Roman"/>
                <w:kern w:val="2"/>
                <w:sz w:val="21"/>
                <w:szCs w:val="21"/>
                <w:lang w:val="en-US" w:eastAsia="zh-CN" w:bidi="ar-SA"/>
              </w:rPr>
            </w:pPr>
          </w:p>
        </w:tc>
        <w:tc>
          <w:tcPr>
            <w:tcW w:w="425" w:type="dxa"/>
            <w:vAlign w:val="top"/>
          </w:tcPr>
          <w:p>
            <w:pPr>
              <w:spacing w:line="400" w:lineRule="exact"/>
              <w:rPr>
                <w:rFonts w:hint="default" w:ascii="宋体" w:hAnsi="宋体"/>
                <w:szCs w:val="21"/>
                <w:highlight w:val="none"/>
                <w:lang w:val="en-US" w:eastAsia="zh-CN"/>
              </w:rPr>
            </w:pPr>
            <w:r>
              <w:rPr>
                <w:rFonts w:hint="eastAsia" w:ascii="宋体" w:hAnsi="宋体"/>
                <w:szCs w:val="21"/>
                <w:highlight w:val="none"/>
                <w:lang w:val="en-US" w:eastAsia="zh-CN"/>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eastAsia="宋体" w:cs="Times New Roman"/>
                <w:kern w:val="2"/>
                <w:sz w:val="21"/>
                <w:szCs w:val="21"/>
                <w:lang w:val="en-US" w:eastAsia="zh-CN" w:bidi="ar-SA"/>
              </w:rPr>
            </w:pPr>
          </w:p>
        </w:tc>
        <w:tc>
          <w:tcPr>
            <w:tcW w:w="5411" w:type="dxa"/>
            <w:vAlign w:val="to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日由总经理</w:t>
            </w:r>
            <w:r>
              <w:rPr>
                <w:rFonts w:hint="eastAsia" w:ascii="宋体" w:hAnsi="宋体"/>
                <w:szCs w:val="21"/>
                <w:lang w:eastAsia="zh-CN"/>
              </w:rPr>
              <w:t>李理</w:t>
            </w:r>
            <w:r>
              <w:rPr>
                <w:rFonts w:hint="eastAsia" w:ascii="宋体" w:hAnsi="宋体"/>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rPr>
                <w:rFonts w:hint="eastAsia" w:ascii="宋体" w:hAnsi="宋体" w:eastAsia="宋体" w:cs="Times New Roman"/>
                <w:kern w:val="0"/>
                <w:sz w:val="21"/>
                <w:szCs w:val="21"/>
                <w:u w:val="single"/>
                <w:lang w:val="en-US" w:eastAsia="zh-CN" w:bidi="ar-SA"/>
              </w:rPr>
            </w:pPr>
            <w:r>
              <w:rPr>
                <w:rFonts w:hint="eastAsia" w:ascii="宋体" w:hAnsi="宋体" w:cs="Times New Roman"/>
                <w:kern w:val="0"/>
                <w:szCs w:val="21"/>
              </w:rPr>
              <w:t>提出以下改进内容：</w:t>
            </w:r>
            <w:r>
              <w:rPr>
                <w:rFonts w:hint="eastAsia" w:ascii="宋体" w:hAnsi="宋体"/>
                <w:szCs w:val="21"/>
              </w:rPr>
              <w:t>各部门领导和相关人员要进一步学习标准及公司体系文件，决定在两周之内由行政部组织相关人员再进行一次针对标准和管理手册的培训。</w:t>
            </w:r>
          </w:p>
        </w:tc>
        <w:tc>
          <w:tcPr>
            <w:tcW w:w="1109" w:type="dxa"/>
            <w:vAlign w:val="top"/>
          </w:tcPr>
          <w:p>
            <w:pPr>
              <w:adjustRightInd w:val="0"/>
              <w:snapToGrid w:val="0"/>
              <w:rPr>
                <w:rFonts w:hint="default" w:ascii="宋体" w:hAnsi="宋体" w:cs="宋体"/>
                <w:szCs w:val="21"/>
                <w:lang w:val="en-US"/>
              </w:rPr>
            </w:pPr>
            <w:r>
              <w:rPr>
                <w:rFonts w:hint="eastAsia" w:ascii="宋体" w:hAnsi="宋体"/>
                <w:szCs w:val="21"/>
                <w:lang w:val="en-US" w:eastAsia="zh-CN"/>
              </w:rPr>
              <w:t>Q/E/S:</w:t>
            </w:r>
            <w:r>
              <w:rPr>
                <w:rFonts w:hint="eastAsia" w:ascii="宋体" w:hAnsi="宋体" w:cs="宋体"/>
                <w:szCs w:val="21"/>
                <w:lang w:val="en-US" w:eastAsia="zh-CN"/>
              </w:rPr>
              <w:t>9.3</w:t>
            </w:r>
          </w:p>
          <w:p>
            <w:pPr>
              <w:spacing w:line="440" w:lineRule="exact"/>
              <w:jc w:val="center"/>
              <w:rPr>
                <w:rFonts w:ascii="宋体" w:hAnsi="宋体" w:eastAsia="宋体" w:cs="Times New Roman"/>
                <w:kern w:val="2"/>
                <w:sz w:val="21"/>
                <w:szCs w:val="21"/>
                <w:lang w:val="en-US" w:eastAsia="zh-CN" w:bidi="ar-SA"/>
              </w:rPr>
            </w:pPr>
          </w:p>
        </w:tc>
        <w:tc>
          <w:tcPr>
            <w:tcW w:w="425" w:type="dxa"/>
            <w:vAlign w:val="top"/>
          </w:tcPr>
          <w:p>
            <w:pPr>
              <w:adjustRightInd w:val="0"/>
              <w:spacing w:line="400" w:lineRule="exact"/>
              <w:textAlignment w:val="baseline"/>
              <w:rPr>
                <w:rFonts w:hint="default" w:ascii="宋体" w:hAnsi="宋体"/>
                <w:kern w:val="0"/>
                <w:szCs w:val="21"/>
                <w:lang w:val="en-US" w:eastAsia="zh-CN"/>
              </w:rPr>
            </w:pPr>
            <w:r>
              <w:rPr>
                <w:rFonts w:hint="eastAsia" w:ascii="宋体" w:hAnsi="宋体"/>
                <w:kern w:val="0"/>
                <w:szCs w:val="21"/>
                <w:lang w:val="en-US" w:eastAsia="zh-CN"/>
              </w:rPr>
              <w:t>符合</w:t>
            </w:r>
          </w:p>
          <w:p>
            <w:pPr>
              <w:spacing w:line="440" w:lineRule="exact"/>
              <w:jc w:val="center"/>
              <w:rPr>
                <w:rFonts w:ascii="宋体" w:hAnsi="宋体" w:eastAsia="宋体" w:cs="Times New Roman"/>
                <w:kern w:val="2"/>
                <w:sz w:val="21"/>
                <w:szCs w:val="21"/>
                <w:lang w:val="en-US" w:eastAsia="zh-CN" w:bidi="ar-SA"/>
              </w:rPr>
            </w:p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5411"/>
        <w:gridCol w:w="11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6945" w:type="dxa"/>
            <w:gridSpan w:val="3"/>
            <w:shd w:val="clear" w:color="auto" w:fill="E6E6E6"/>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5411"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09"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425"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3687" w:type="dxa"/>
            <w:vAlign w:val="top"/>
          </w:tcPr>
          <w:p>
            <w:pPr>
              <w:spacing w:line="400" w:lineRule="exact"/>
              <w:rPr>
                <w:rFonts w:ascii="宋体" w:hAnsi="宋体"/>
                <w:szCs w:val="21"/>
                <w:highlight w:val="none"/>
              </w:rPr>
            </w:pPr>
            <w:r>
              <w:rPr>
                <w:rFonts w:hint="eastAsia" w:ascii="宋体" w:hAnsi="宋体"/>
                <w:szCs w:val="21"/>
                <w:highlight w:val="none"/>
              </w:rPr>
              <w:t>相关法规</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环评报告及环评验收</w:t>
            </w: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安评报告及安评验收</w:t>
            </w:r>
          </w:p>
          <w:p>
            <w:pPr>
              <w:spacing w:line="400" w:lineRule="exact"/>
              <w:rPr>
                <w:rFonts w:hint="eastAsia"/>
                <w:szCs w:val="21"/>
                <w:highlight w:val="none"/>
              </w:rPr>
            </w:pPr>
          </w:p>
          <w:p>
            <w:pPr>
              <w:spacing w:line="400" w:lineRule="exact"/>
              <w:rPr>
                <w:szCs w:val="21"/>
                <w:highlight w:val="none"/>
              </w:rPr>
            </w:pPr>
            <w:r>
              <w:rPr>
                <w:rFonts w:hint="eastAsia"/>
                <w:szCs w:val="21"/>
                <w:highlight w:val="none"/>
              </w:rPr>
              <w:t>执行的产品标准（QMS）</w:t>
            </w:r>
          </w:p>
          <w:p>
            <w:pPr>
              <w:spacing w:line="400" w:lineRule="exact"/>
              <w:rPr>
                <w:szCs w:val="21"/>
                <w:highlight w:val="none"/>
              </w:rPr>
            </w:pPr>
          </w:p>
          <w:p>
            <w:pPr>
              <w:spacing w:line="400" w:lineRule="exact"/>
              <w:rPr>
                <w:szCs w:val="21"/>
                <w:highlight w:val="none"/>
              </w:rPr>
            </w:pPr>
          </w:p>
          <w:p>
            <w:pPr>
              <w:spacing w:line="400" w:lineRule="exact"/>
              <w:rPr>
                <w:rFonts w:hint="eastAsia"/>
                <w:szCs w:val="21"/>
                <w:highlight w:val="none"/>
              </w:rPr>
            </w:pP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执行的排污标准（EMS）</w:t>
            </w:r>
          </w:p>
          <w:p>
            <w:pPr>
              <w:spacing w:line="400" w:lineRule="exact"/>
              <w:rPr>
                <w:rFonts w:hint="eastAsia"/>
                <w:szCs w:val="21"/>
                <w:highlight w:val="none"/>
              </w:rPr>
            </w:pPr>
          </w:p>
          <w:p>
            <w:pPr>
              <w:spacing w:line="400" w:lineRule="exact"/>
              <w:rPr>
                <w:rFonts w:hint="eastAsia"/>
                <w:szCs w:val="21"/>
                <w:highlight w:val="none"/>
              </w:rPr>
            </w:pPr>
          </w:p>
          <w:p>
            <w:pPr>
              <w:spacing w:line="400" w:lineRule="exact"/>
              <w:rPr>
                <w:szCs w:val="21"/>
                <w:highlight w:val="none"/>
              </w:rPr>
            </w:pPr>
            <w:r>
              <w:rPr>
                <w:rFonts w:hint="eastAsia"/>
                <w:szCs w:val="21"/>
                <w:highlight w:val="none"/>
              </w:rPr>
              <w:t>执行的安全法规（OHSMS）</w:t>
            </w:r>
          </w:p>
          <w:p>
            <w:pPr>
              <w:spacing w:line="400" w:lineRule="exact"/>
              <w:rPr>
                <w:szCs w:val="21"/>
                <w:highlight w:val="none"/>
              </w:rPr>
            </w:pP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 xml:space="preserve">合规性评价报告 </w:t>
            </w: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环境相关监测报告（EMS）</w:t>
            </w: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职业健康相关监测报告（OHSMS）</w:t>
            </w:r>
          </w:p>
          <w:p>
            <w:pPr>
              <w:spacing w:line="400" w:lineRule="exact"/>
              <w:rPr>
                <w:rFonts w:hint="eastAsia"/>
                <w:szCs w:val="21"/>
                <w:highlight w:val="none"/>
              </w:rPr>
            </w:pPr>
          </w:p>
          <w:p>
            <w:pPr>
              <w:spacing w:line="400" w:lineRule="exact"/>
              <w:rPr>
                <w:rFonts w:ascii="宋体" w:hAnsi="宋体"/>
                <w:szCs w:val="21"/>
                <w:highlight w:val="none"/>
              </w:rPr>
            </w:pPr>
            <w:r>
              <w:rPr>
                <w:rFonts w:hint="eastAsia"/>
                <w:szCs w:val="21"/>
                <w:highlight w:val="none"/>
              </w:rPr>
              <w:t>产品质量监督抽查情况（QMS）</w:t>
            </w:r>
          </w:p>
        </w:tc>
        <w:tc>
          <w:tcPr>
            <w:tcW w:w="5411" w:type="dxa"/>
            <w:vAlign w:val="top"/>
          </w:tcPr>
          <w:p>
            <w:pPr>
              <w:spacing w:line="400" w:lineRule="exact"/>
              <w:rPr>
                <w:rFonts w:ascii="宋体" w:hAnsi="宋体"/>
                <w:szCs w:val="21"/>
                <w:highlight w:val="none"/>
              </w:rPr>
            </w:pPr>
            <w:r>
              <w:rPr>
                <w:rFonts w:hint="eastAsia" w:ascii="宋体" w:hAnsi="宋体"/>
                <w:szCs w:val="21"/>
                <w:highlight w:val="none"/>
              </w:rPr>
              <w:t>中华人民共和国合同法、中华人民共和国劳动法、中华人民共和国安全消防法、中华人民共和国劳动合同法、</w:t>
            </w:r>
            <w:r>
              <w:rPr>
                <w:rFonts w:ascii="宋体" w:hAnsi="宋体"/>
                <w:szCs w:val="21"/>
                <w:highlight w:val="none"/>
              </w:rPr>
              <w:t>中华人民共和国产品质量法</w:t>
            </w:r>
            <w:r>
              <w:rPr>
                <w:rFonts w:hint="eastAsia" w:ascii="宋体" w:hAnsi="宋体"/>
                <w:szCs w:val="21"/>
                <w:highlight w:val="none"/>
              </w:rPr>
              <w:t>、中华人民共和国安全生产法等</w:t>
            </w:r>
          </w:p>
          <w:p>
            <w:pPr>
              <w:spacing w:line="400" w:lineRule="exact"/>
              <w:rPr>
                <w:rFonts w:ascii="宋体" w:hAnsi="宋体"/>
                <w:szCs w:val="21"/>
                <w:highlight w:val="none"/>
              </w:rPr>
            </w:pPr>
          </w:p>
          <w:p>
            <w:pPr>
              <w:numPr>
                <w:ilvl w:val="0"/>
                <w:numId w:val="0"/>
              </w:numPr>
              <w:spacing w:line="400" w:lineRule="exact"/>
              <w:rPr>
                <w:rFonts w:hint="eastAsia" w:ascii="宋体" w:hAnsi="宋体"/>
                <w:szCs w:val="21"/>
                <w:highlight w:val="none"/>
                <w:lang w:eastAsia="zh-CN"/>
              </w:rPr>
            </w:pPr>
            <w:r>
              <w:rPr>
                <w:rFonts w:hint="eastAsia" w:ascii="宋体" w:hAnsi="宋体"/>
                <w:szCs w:val="21"/>
                <w:highlight w:val="none"/>
                <w:lang w:eastAsia="zh-CN"/>
              </w:rPr>
              <w:t>不适用</w:t>
            </w:r>
          </w:p>
          <w:p>
            <w:pPr>
              <w:numPr>
                <w:ilvl w:val="0"/>
                <w:numId w:val="0"/>
              </w:numPr>
              <w:spacing w:line="400" w:lineRule="exact"/>
              <w:rPr>
                <w:rFonts w:hint="eastAsia" w:ascii="宋体" w:hAnsi="宋体"/>
                <w:szCs w:val="21"/>
                <w:highlight w:val="none"/>
                <w:lang w:eastAsia="zh-CN"/>
              </w:rPr>
            </w:pPr>
          </w:p>
          <w:p>
            <w:pPr>
              <w:numPr>
                <w:ilvl w:val="0"/>
                <w:numId w:val="0"/>
              </w:numPr>
              <w:spacing w:line="400" w:lineRule="exact"/>
              <w:rPr>
                <w:rFonts w:hint="eastAsia" w:ascii="宋体" w:hAnsi="宋体"/>
                <w:szCs w:val="21"/>
                <w:highlight w:val="none"/>
              </w:rPr>
            </w:pPr>
            <w:r>
              <w:rPr>
                <w:rFonts w:hint="eastAsia" w:ascii="宋体" w:hAnsi="宋体"/>
                <w:szCs w:val="21"/>
                <w:highlight w:val="none"/>
              </w:rPr>
              <w:t>不适用</w:t>
            </w:r>
          </w:p>
          <w:p>
            <w:pPr>
              <w:numPr>
                <w:ilvl w:val="0"/>
                <w:numId w:val="0"/>
              </w:numPr>
              <w:spacing w:line="400" w:lineRule="exact"/>
              <w:rPr>
                <w:rFonts w:hint="eastAsia" w:ascii="宋体" w:hAnsi="宋体"/>
                <w:szCs w:val="21"/>
                <w:highlight w:val="green"/>
              </w:rPr>
            </w:pPr>
          </w:p>
          <w:p>
            <w:pPr>
              <w:numPr>
                <w:ilvl w:val="0"/>
                <w:numId w:val="0"/>
              </w:numPr>
              <w:spacing w:line="400" w:lineRule="exac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病媒生物密度控制水平 鼠类》</w:t>
            </w:r>
            <w:r>
              <w:rPr>
                <w:rFonts w:hint="eastAsia" w:ascii="宋体" w:hAnsi="宋体" w:cs="宋体"/>
                <w:kern w:val="15"/>
                <w:szCs w:val="21"/>
              </w:rPr>
              <w:t>GB/T 27770-2011</w:t>
            </w:r>
            <w:r>
              <w:rPr>
                <w:rFonts w:hint="eastAsia" w:ascii="宋体" w:hAnsi="宋体" w:cs="宋体"/>
                <w:szCs w:val="21"/>
              </w:rPr>
              <w:t>、《病媒生物密度控制水平 蚊虫》</w:t>
            </w:r>
            <w:r>
              <w:rPr>
                <w:rFonts w:hint="eastAsia" w:ascii="宋体" w:hAnsi="宋体" w:cs="宋体"/>
                <w:kern w:val="15"/>
                <w:szCs w:val="21"/>
              </w:rPr>
              <w:t>GB/T 27771-2011； 《</w:t>
            </w:r>
            <w:r>
              <w:rPr>
                <w:rFonts w:hint="eastAsia" w:ascii="宋体" w:hAnsi="宋体" w:cs="宋体"/>
                <w:szCs w:val="21"/>
              </w:rPr>
              <w:t>病媒生物密度控制水平 蝇类</w:t>
            </w:r>
            <w:r>
              <w:rPr>
                <w:rFonts w:hint="eastAsia" w:ascii="宋体" w:hAnsi="宋体" w:cs="宋体"/>
                <w:kern w:val="15"/>
                <w:szCs w:val="21"/>
              </w:rPr>
              <w:t>》GB/T 27772-2011; 《</w:t>
            </w:r>
            <w:r>
              <w:rPr>
                <w:rFonts w:hint="eastAsia" w:ascii="宋体" w:hAnsi="宋体" w:cs="宋体"/>
                <w:szCs w:val="21"/>
              </w:rPr>
              <w:t>病媒生物密度控制水平 蜚蠊</w:t>
            </w:r>
            <w:r>
              <w:rPr>
                <w:rFonts w:hint="eastAsia" w:ascii="宋体" w:hAnsi="宋体" w:cs="宋体"/>
                <w:kern w:val="15"/>
                <w:szCs w:val="21"/>
              </w:rPr>
              <w:t>》GB/T 27773-2011</w:t>
            </w:r>
            <w:r>
              <w:rPr>
                <w:rFonts w:hint="eastAsia" w:ascii="宋体" w:hAnsi="宋体" w:cs="宋体"/>
                <w:kern w:val="15"/>
                <w:szCs w:val="21"/>
                <w:lang w:eastAsia="zh-CN"/>
              </w:rPr>
              <w:t>等</w:t>
            </w:r>
            <w:r>
              <w:rPr>
                <w:rFonts w:hint="eastAsia" w:ascii="宋体" w:hAnsi="宋体" w:cs="宋体"/>
                <w:szCs w:val="21"/>
              </w:rPr>
              <w:t>。</w:t>
            </w:r>
          </w:p>
          <w:p>
            <w:pPr>
              <w:numPr>
                <w:ilvl w:val="0"/>
                <w:numId w:val="0"/>
              </w:numPr>
              <w:spacing w:line="400" w:lineRule="exact"/>
              <w:rPr>
                <w:rFonts w:hint="eastAsia" w:ascii="宋体" w:hAnsi="宋体" w:cs="宋体"/>
                <w:szCs w:val="21"/>
              </w:rPr>
            </w:pPr>
          </w:p>
          <w:p>
            <w:pPr>
              <w:keepNext w:val="0"/>
              <w:keepLines w:val="0"/>
              <w:widowControl/>
              <w:suppressLineNumbers w:val="0"/>
              <w:jc w:val="left"/>
              <w:rPr>
                <w:rFonts w:hint="eastAsia" w:ascii="宋体" w:hAnsi="宋体"/>
                <w:szCs w:val="21"/>
                <w:highlight w:val="none"/>
                <w:lang w:val="en-US" w:eastAsia="zh-CN"/>
              </w:rPr>
            </w:pPr>
            <w:r>
              <w:rPr>
                <w:rFonts w:hint="eastAsia" w:ascii="宋体" w:hAnsi="宋体" w:cs="宋体"/>
                <w:color w:val="000000"/>
                <w:kern w:val="0"/>
                <w:szCs w:val="21"/>
                <w:highlight w:val="none"/>
              </w:rPr>
              <w:t>《污水</w:t>
            </w:r>
            <w:r>
              <w:rPr>
                <w:rFonts w:hint="eastAsia" w:ascii="宋体" w:hAnsi="宋体" w:cs="宋体"/>
                <w:color w:val="000000"/>
                <w:kern w:val="0"/>
                <w:szCs w:val="21"/>
                <w:highlight w:val="none"/>
                <w:lang w:eastAsia="zh-CN"/>
              </w:rPr>
              <w:t>综合排放</w:t>
            </w:r>
            <w:r>
              <w:rPr>
                <w:rFonts w:hint="eastAsia" w:ascii="宋体" w:hAnsi="宋体" w:cs="宋体"/>
                <w:color w:val="000000"/>
                <w:kern w:val="0"/>
                <w:szCs w:val="21"/>
                <w:highlight w:val="none"/>
              </w:rPr>
              <w:t>标准》</w:t>
            </w:r>
            <w:r>
              <w:rPr>
                <w:color w:val="000000"/>
                <w:kern w:val="0"/>
                <w:szCs w:val="21"/>
                <w:highlight w:val="none"/>
              </w:rPr>
              <w:t>(GB</w:t>
            </w:r>
            <w:r>
              <w:rPr>
                <w:rFonts w:hint="eastAsia"/>
                <w:color w:val="000000"/>
                <w:kern w:val="0"/>
                <w:szCs w:val="21"/>
                <w:highlight w:val="none"/>
                <w:lang w:val="en-US" w:eastAsia="zh-CN"/>
              </w:rPr>
              <w:t>8978</w:t>
            </w:r>
            <w:r>
              <w:rPr>
                <w:rFonts w:hint="eastAsia"/>
                <w:color w:val="000000"/>
                <w:kern w:val="0"/>
                <w:szCs w:val="21"/>
                <w:highlight w:val="none"/>
              </w:rPr>
              <w:t>-</w:t>
            </w:r>
            <w:r>
              <w:rPr>
                <w:rFonts w:hint="eastAsia"/>
                <w:color w:val="000000"/>
                <w:kern w:val="0"/>
                <w:szCs w:val="21"/>
                <w:highlight w:val="none"/>
                <w:lang w:val="en-US" w:eastAsia="zh-CN"/>
              </w:rPr>
              <w:t>1996</w:t>
            </w:r>
            <w:r>
              <w:rPr>
                <w:color w:val="000000"/>
                <w:kern w:val="0"/>
                <w:szCs w:val="21"/>
                <w:highlight w:val="none"/>
              </w:rPr>
              <w:t>)</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级标准</w:t>
            </w:r>
            <w:r>
              <w:rPr>
                <w:rFonts w:hint="eastAsia" w:ascii="宋体" w:hAnsi="宋体"/>
                <w:szCs w:val="21"/>
                <w:highlight w:val="none"/>
              </w:rPr>
              <w:t>；《工业企业厂界环境噪声排放标准》（GB12348-2008）3类</w:t>
            </w:r>
            <w:r>
              <w:rPr>
                <w:rFonts w:hint="eastAsia" w:ascii="宋体" w:hAnsi="宋体"/>
                <w:szCs w:val="21"/>
                <w:highlight w:val="none"/>
                <w:lang w:eastAsia="zh-CN"/>
              </w:rPr>
              <w:t>标准；</w:t>
            </w:r>
          </w:p>
          <w:p>
            <w:pPr>
              <w:keepNext w:val="0"/>
              <w:keepLines w:val="0"/>
              <w:widowControl/>
              <w:suppressLineNumbers w:val="0"/>
              <w:jc w:val="left"/>
              <w:rPr>
                <w:rFonts w:hint="eastAsia" w:ascii="宋体" w:hAnsi="宋体"/>
                <w:szCs w:val="21"/>
                <w:highlight w:val="none"/>
                <w:lang w:val="en-US" w:eastAsia="zh-CN"/>
              </w:rPr>
            </w:pPr>
          </w:p>
          <w:p>
            <w:pPr>
              <w:spacing w:line="400" w:lineRule="exact"/>
              <w:rPr>
                <w:szCs w:val="21"/>
                <w:highlight w:val="none"/>
              </w:rPr>
            </w:pPr>
            <w:r>
              <w:rPr>
                <w:rFonts w:hint="eastAsia" w:ascii="宋体" w:hAnsi="宋体"/>
                <w:szCs w:val="21"/>
                <w:highlight w:val="none"/>
              </w:rPr>
              <w:t>中华人民共和国安全消防法、</w:t>
            </w:r>
            <w:r>
              <w:rPr>
                <w:rFonts w:hint="eastAsia" w:ascii="宋体" w:hAnsi="宋体"/>
                <w:color w:val="000000"/>
                <w:szCs w:val="21"/>
                <w:highlight w:val="none"/>
              </w:rPr>
              <w:t>中华人民共和国劳动合同法、</w:t>
            </w:r>
            <w:r>
              <w:rPr>
                <w:rFonts w:hint="eastAsia" w:ascii="宋体" w:hAnsi="宋体" w:cs="宋体"/>
                <w:color w:val="000000"/>
                <w:szCs w:val="21"/>
                <w:highlight w:val="none"/>
              </w:rPr>
              <w:t>中华人民共和国安全生产法等</w:t>
            </w: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2019年</w:t>
            </w:r>
            <w:r>
              <w:rPr>
                <w:rFonts w:hint="eastAsia"/>
                <w:szCs w:val="21"/>
                <w:highlight w:val="none"/>
                <w:lang w:val="en-US" w:eastAsia="zh-CN"/>
              </w:rPr>
              <w:t>12</w:t>
            </w:r>
            <w:r>
              <w:rPr>
                <w:rFonts w:hint="eastAsia"/>
                <w:szCs w:val="21"/>
                <w:highlight w:val="none"/>
              </w:rPr>
              <w:t>月</w:t>
            </w:r>
            <w:r>
              <w:rPr>
                <w:rFonts w:hint="eastAsia"/>
                <w:szCs w:val="21"/>
                <w:highlight w:val="none"/>
                <w:lang w:val="en-US" w:eastAsia="zh-CN"/>
              </w:rPr>
              <w:t>10</w:t>
            </w:r>
            <w:r>
              <w:rPr>
                <w:rFonts w:hint="eastAsia"/>
                <w:szCs w:val="21"/>
                <w:highlight w:val="none"/>
              </w:rPr>
              <w:t>日进行了合规性评价</w:t>
            </w: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无</w:t>
            </w:r>
          </w:p>
          <w:p>
            <w:pPr>
              <w:spacing w:line="400" w:lineRule="exact"/>
              <w:rPr>
                <w:rFonts w:hint="eastAsia"/>
                <w:szCs w:val="21"/>
                <w:highlight w:val="none"/>
              </w:rPr>
            </w:pPr>
          </w:p>
          <w:p>
            <w:pPr>
              <w:spacing w:line="400" w:lineRule="exact"/>
              <w:rPr>
                <w:szCs w:val="21"/>
                <w:highlight w:val="none"/>
              </w:rPr>
            </w:pPr>
            <w:r>
              <w:rPr>
                <w:rFonts w:hint="eastAsia"/>
                <w:szCs w:val="21"/>
                <w:highlight w:val="none"/>
              </w:rPr>
              <w:t>无</w:t>
            </w:r>
          </w:p>
          <w:p>
            <w:pPr>
              <w:spacing w:line="400" w:lineRule="exact"/>
              <w:rPr>
                <w:rFonts w:hint="eastAsia"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无质量监督抽查。</w:t>
            </w:r>
          </w:p>
        </w:tc>
        <w:tc>
          <w:tcPr>
            <w:tcW w:w="1109" w:type="dxa"/>
            <w:vAlign w:val="top"/>
          </w:tcPr>
          <w:p>
            <w:pPr>
              <w:adjustRightInd w:val="0"/>
              <w:snapToGrid w:val="0"/>
              <w:rPr>
                <w:rFonts w:hint="default" w:ascii="宋体" w:hAnsi="宋体" w:cs="宋体"/>
                <w:szCs w:val="21"/>
                <w:lang w:val="en-US"/>
              </w:rPr>
            </w:pPr>
            <w:r>
              <w:rPr>
                <w:rFonts w:hint="eastAsia" w:ascii="宋体" w:hAnsi="宋体"/>
                <w:szCs w:val="21"/>
                <w:lang w:val="en-US" w:eastAsia="zh-CN"/>
              </w:rPr>
              <w:t>Q/E/S:6.1.3、9.1.2</w:t>
            </w:r>
          </w:p>
          <w:p>
            <w:pPr>
              <w:spacing w:line="440" w:lineRule="exact"/>
              <w:jc w:val="center"/>
              <w:rPr>
                <w:rFonts w:ascii="宋体" w:hAnsi="宋体" w:eastAsia="宋体" w:cs="Times New Roman"/>
                <w:kern w:val="2"/>
                <w:sz w:val="21"/>
                <w:szCs w:val="21"/>
                <w:lang w:val="en-US" w:eastAsia="zh-CN" w:bidi="ar-SA"/>
              </w:rPr>
            </w:pPr>
          </w:p>
        </w:tc>
        <w:tc>
          <w:tcPr>
            <w:tcW w:w="425" w:type="dxa"/>
            <w:vAlign w:val="top"/>
          </w:tcPr>
          <w:p>
            <w:pPr>
              <w:spacing w:line="400" w:lineRule="exact"/>
              <w:rPr>
                <w:rFonts w:hint="default" w:ascii="宋体" w:hAnsi="宋体"/>
                <w:szCs w:val="21"/>
                <w:highlight w:val="none"/>
                <w:lang w:val="en-US" w:eastAsia="zh-CN"/>
              </w:rPr>
            </w:pPr>
            <w:r>
              <w:rPr>
                <w:rFonts w:hint="eastAsia" w:ascii="宋体" w:hAnsi="宋体"/>
                <w:szCs w:val="21"/>
                <w:highlight w:val="none"/>
                <w:lang w:val="en-US" w:eastAsia="zh-CN"/>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trPr>
        <w:tc>
          <w:tcPr>
            <w:tcW w:w="3687" w:type="dxa"/>
            <w:vAlign w:val="top"/>
          </w:tcPr>
          <w:p>
            <w:pPr>
              <w:spacing w:line="400" w:lineRule="exact"/>
              <w:rPr>
                <w:rFonts w:ascii="宋体" w:hAnsi="宋体"/>
                <w:szCs w:val="21"/>
                <w:highlight w:val="none"/>
              </w:rPr>
            </w:pPr>
            <w:r>
              <w:rPr>
                <w:rFonts w:hint="eastAsia" w:ascii="宋体" w:hAnsi="宋体"/>
                <w:szCs w:val="21"/>
                <w:highlight w:val="none"/>
              </w:rPr>
              <w:t>工艺流程</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hint="eastAsia"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不适用条款的确认</w:t>
            </w:r>
          </w:p>
          <w:p>
            <w:pPr>
              <w:spacing w:line="400" w:lineRule="exact"/>
              <w:rPr>
                <w:rFonts w:hint="eastAsia" w:ascii="宋体" w:hAnsi="宋体"/>
                <w:szCs w:val="21"/>
                <w:highlight w:val="none"/>
              </w:rPr>
            </w:pPr>
          </w:p>
          <w:p>
            <w:pPr>
              <w:spacing w:line="400" w:lineRule="exact"/>
              <w:rPr>
                <w:rFonts w:hint="eastAsia" w:ascii="宋体" w:hAnsi="宋体"/>
                <w:szCs w:val="21"/>
                <w:highlight w:val="none"/>
              </w:rPr>
            </w:pPr>
          </w:p>
          <w:p>
            <w:pPr>
              <w:spacing w:line="400" w:lineRule="exact"/>
              <w:rPr>
                <w:rFonts w:hint="eastAsia" w:ascii="宋体" w:hAnsi="宋体"/>
                <w:szCs w:val="21"/>
                <w:highlight w:val="none"/>
              </w:rPr>
            </w:pPr>
            <w:r>
              <w:rPr>
                <w:rFonts w:hint="eastAsia" w:ascii="宋体" w:hAnsi="宋体"/>
                <w:szCs w:val="21"/>
                <w:highlight w:val="none"/>
              </w:rPr>
              <w:t>外包的识别</w:t>
            </w:r>
          </w:p>
          <w:p>
            <w:pPr>
              <w:spacing w:line="400" w:lineRule="exact"/>
              <w:rPr>
                <w:rFonts w:hint="eastAsia" w:ascii="宋体" w:hAnsi="宋体"/>
                <w:szCs w:val="21"/>
                <w:highlight w:val="none"/>
              </w:rPr>
            </w:pPr>
          </w:p>
          <w:p>
            <w:pPr>
              <w:spacing w:line="400" w:lineRule="exact"/>
              <w:rPr>
                <w:rFonts w:hint="eastAsia" w:ascii="宋体" w:hAnsi="宋体"/>
                <w:szCs w:val="21"/>
                <w:highlight w:val="none"/>
              </w:rPr>
            </w:pPr>
            <w:r>
              <w:rPr>
                <w:rFonts w:hint="eastAsia" w:ascii="宋体" w:hAnsi="宋体"/>
                <w:szCs w:val="21"/>
                <w:highlight w:val="none"/>
              </w:rPr>
              <w:t>重要环境因素（EMS）</w:t>
            </w:r>
          </w:p>
          <w:p>
            <w:pPr>
              <w:spacing w:line="400" w:lineRule="exact"/>
              <w:rPr>
                <w:rFonts w:hint="eastAsia" w:ascii="宋体" w:hAnsi="宋体"/>
                <w:szCs w:val="21"/>
                <w:highlight w:val="none"/>
              </w:rPr>
            </w:pP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不可接受风险（OHSMS）</w:t>
            </w:r>
          </w:p>
          <w:p>
            <w:pPr>
              <w:spacing w:line="400" w:lineRule="exact"/>
              <w:rPr>
                <w:rFonts w:hint="eastAsia"/>
                <w:szCs w:val="21"/>
                <w:highlight w:val="none"/>
              </w:rPr>
            </w:pPr>
          </w:p>
          <w:p>
            <w:pPr>
              <w:spacing w:line="400" w:lineRule="exact"/>
              <w:rPr>
                <w:rFonts w:hint="eastAsia" w:eastAsia="宋体"/>
                <w:szCs w:val="21"/>
                <w:highlight w:val="none"/>
                <w:lang w:eastAsia="zh-CN"/>
              </w:rPr>
            </w:pPr>
            <w:r>
              <w:rPr>
                <w:rFonts w:hint="eastAsia"/>
                <w:szCs w:val="21"/>
                <w:highlight w:val="none"/>
                <w:lang w:eastAsia="zh-CN"/>
              </w:rPr>
              <w:t>应急管理</w:t>
            </w:r>
          </w:p>
        </w:tc>
        <w:tc>
          <w:tcPr>
            <w:tcW w:w="5411" w:type="dxa"/>
            <w:vAlign w:val="top"/>
          </w:tcPr>
          <w:p>
            <w:pPr>
              <w:rPr>
                <w:rFonts w:hint="eastAsia" w:ascii="宋体" w:hAnsi="宋体"/>
                <w:color w:val="000000"/>
                <w:szCs w:val="21"/>
                <w:highlight w:val="none"/>
              </w:rPr>
            </w:pPr>
            <w:r>
              <w:rPr>
                <w:rFonts w:hint="eastAsia" w:ascii="宋体" w:hAnsi="宋体"/>
                <w:color w:val="000000"/>
                <w:szCs w:val="21"/>
                <w:highlight w:val="none"/>
              </w:rPr>
              <w:t>有害生物防制服务流程：</w:t>
            </w:r>
          </w:p>
          <w:p>
            <w:pPr>
              <w:tabs>
                <w:tab w:val="left" w:pos="1080"/>
              </w:tabs>
              <w:spacing w:line="400" w:lineRule="exact"/>
              <w:rPr>
                <w:rFonts w:hint="eastAsia" w:ascii="宋体" w:hAnsi="宋体"/>
                <w:color w:val="000000"/>
                <w:szCs w:val="21"/>
                <w:highlight w:val="none"/>
              </w:rPr>
            </w:pPr>
            <w:r>
              <w:rPr>
                <w:rFonts w:hint="eastAsia" w:ascii="宋体" w:hAnsi="宋体"/>
                <w:color w:val="000000"/>
                <w:szCs w:val="21"/>
                <w:highlight w:val="none"/>
              </w:rPr>
              <w:t>客户洽谈--签订合同—现场勘查有害生物危害情况--制定防制实施方案—防治实施—效果监测-客户验收。</w:t>
            </w:r>
          </w:p>
          <w:p>
            <w:pPr>
              <w:tabs>
                <w:tab w:val="left" w:pos="1080"/>
              </w:tabs>
              <w:spacing w:line="400" w:lineRule="exact"/>
              <w:rPr>
                <w:rFonts w:hint="eastAsia" w:ascii="宋体" w:hAnsi="宋体"/>
                <w:szCs w:val="21"/>
                <w:highlight w:val="none"/>
              </w:rPr>
            </w:pPr>
            <w:r>
              <w:rPr>
                <w:rFonts w:hint="eastAsia" w:ascii="宋体" w:hAnsi="宋体"/>
                <w:color w:val="000000"/>
                <w:szCs w:val="21"/>
                <w:highlight w:val="none"/>
              </w:rPr>
              <w:t>防治实施过程为关键过程。</w:t>
            </w:r>
          </w:p>
          <w:p>
            <w:pPr>
              <w:tabs>
                <w:tab w:val="left" w:pos="1080"/>
              </w:tabs>
              <w:spacing w:line="400" w:lineRule="exact"/>
              <w:rPr>
                <w:rFonts w:hint="eastAsia" w:ascii="宋体" w:hAnsi="宋体"/>
                <w:szCs w:val="21"/>
                <w:highlight w:val="none"/>
                <w:lang w:eastAsia="zh-CN"/>
              </w:rPr>
            </w:pPr>
          </w:p>
          <w:p>
            <w:pPr>
              <w:tabs>
                <w:tab w:val="left" w:pos="1080"/>
              </w:tabs>
              <w:spacing w:line="400" w:lineRule="exact"/>
              <w:rPr>
                <w:rFonts w:hint="eastAsia" w:ascii="宋体" w:hAnsi="宋体" w:eastAsia="宋体"/>
                <w:color w:val="000000"/>
                <w:szCs w:val="21"/>
                <w:highlight w:val="none"/>
                <w:lang w:eastAsia="zh-CN"/>
              </w:rPr>
            </w:pPr>
            <w:r>
              <w:rPr>
                <w:rFonts w:hint="eastAsia" w:ascii="宋体" w:hAnsi="宋体"/>
                <w:szCs w:val="21"/>
                <w:highlight w:val="none"/>
              </w:rPr>
              <w:t>Q8.3条款</w:t>
            </w:r>
            <w:r>
              <w:rPr>
                <w:rFonts w:hint="eastAsia" w:ascii="宋体" w:hAnsi="宋体"/>
                <w:color w:val="000000"/>
                <w:szCs w:val="21"/>
                <w:highlight w:val="none"/>
              </w:rPr>
              <w:t>（有害生物防制均系按顾客的要求及国家标准、法律法规要求进行有害生物防制的常规服务未涉及设计开发过程）</w:t>
            </w:r>
            <w:r>
              <w:rPr>
                <w:rFonts w:hint="eastAsia" w:ascii="宋体" w:hAnsi="宋体"/>
                <w:color w:val="000000"/>
                <w:szCs w:val="21"/>
                <w:highlight w:val="none"/>
                <w:lang w:eastAsia="zh-CN"/>
              </w:rPr>
              <w:t>。</w:t>
            </w:r>
          </w:p>
          <w:p>
            <w:pPr>
              <w:tabs>
                <w:tab w:val="left" w:pos="1080"/>
              </w:tabs>
              <w:spacing w:line="400" w:lineRule="exact"/>
              <w:rPr>
                <w:rFonts w:hint="eastAsia" w:ascii="宋体" w:hAnsi="宋体"/>
                <w:szCs w:val="21"/>
                <w:highlight w:val="none"/>
              </w:rPr>
            </w:pPr>
            <w:r>
              <w:rPr>
                <w:rFonts w:hint="eastAsia" w:ascii="宋体" w:hAnsi="宋体"/>
                <w:szCs w:val="21"/>
                <w:highlight w:val="none"/>
              </w:rPr>
              <w:t>无</w:t>
            </w:r>
          </w:p>
          <w:p>
            <w:pPr>
              <w:tabs>
                <w:tab w:val="left" w:pos="1080"/>
              </w:tabs>
              <w:spacing w:line="400" w:lineRule="exact"/>
              <w:rPr>
                <w:rFonts w:hint="eastAsia" w:ascii="宋体" w:hAnsi="宋体"/>
                <w:szCs w:val="21"/>
                <w:highlight w:val="none"/>
              </w:rPr>
            </w:pPr>
          </w:p>
          <w:p>
            <w:pPr>
              <w:pStyle w:val="13"/>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1）化学药剂的排放；2）化学品泄漏；3）固废（含危险固废）的排放</w:t>
            </w:r>
            <w:r>
              <w:rPr>
                <w:rFonts w:hint="eastAsia" w:ascii="宋体" w:hAnsi="宋体" w:cs="宋体"/>
                <w:szCs w:val="21"/>
                <w:highlight w:val="none"/>
                <w:lang w:eastAsia="zh-CN"/>
              </w:rPr>
              <w:t>；</w:t>
            </w:r>
            <w:r>
              <w:rPr>
                <w:rFonts w:hint="eastAsia" w:ascii="宋体" w:hAnsi="宋体" w:cs="宋体"/>
                <w:szCs w:val="21"/>
                <w:highlight w:val="none"/>
                <w:lang w:val="en-US" w:eastAsia="zh-CN"/>
              </w:rPr>
              <w:t>4）潜在火灾</w:t>
            </w:r>
            <w:bookmarkStart w:id="1" w:name="_GoBack"/>
            <w:bookmarkEnd w:id="1"/>
            <w:r>
              <w:rPr>
                <w:rFonts w:hint="eastAsia" w:ascii="宋体" w:hAnsi="宋体" w:cs="宋体"/>
                <w:szCs w:val="21"/>
                <w:highlight w:val="none"/>
              </w:rPr>
              <w:t>。</w:t>
            </w:r>
          </w:p>
          <w:p>
            <w:pPr>
              <w:tabs>
                <w:tab w:val="left" w:pos="1080"/>
              </w:tabs>
              <w:spacing w:line="400" w:lineRule="exact"/>
              <w:rPr>
                <w:rFonts w:hint="eastAsia" w:ascii="宋体" w:hAnsi="宋体"/>
                <w:szCs w:val="21"/>
                <w:highlight w:val="none"/>
              </w:rPr>
            </w:pPr>
          </w:p>
          <w:p>
            <w:pPr>
              <w:tabs>
                <w:tab w:val="left" w:pos="1080"/>
              </w:tabs>
              <w:spacing w:line="400" w:lineRule="exact"/>
              <w:rPr>
                <w:rFonts w:hint="eastAsia" w:ascii="宋体" w:hAnsi="宋体" w:cs="Times New Roman"/>
                <w:szCs w:val="21"/>
                <w:highlight w:val="none"/>
              </w:rPr>
            </w:pPr>
            <w:r>
              <w:rPr>
                <w:rFonts w:hint="eastAsia"/>
                <w:szCs w:val="21"/>
                <w:highlight w:val="none"/>
              </w:rPr>
              <w:t>1）火灾；2）人身伤害（化学品中毒、生物伤害）</w:t>
            </w:r>
            <w:r>
              <w:rPr>
                <w:rFonts w:hint="eastAsia" w:ascii="宋体" w:hAnsi="宋体" w:cs="Times New Roman"/>
                <w:szCs w:val="21"/>
                <w:highlight w:val="none"/>
              </w:rPr>
              <w:t>。</w:t>
            </w:r>
          </w:p>
          <w:p>
            <w:pPr>
              <w:tabs>
                <w:tab w:val="left" w:pos="1080"/>
              </w:tabs>
              <w:spacing w:line="400" w:lineRule="exact"/>
              <w:rPr>
                <w:rFonts w:hint="eastAsia" w:ascii="宋体" w:hAnsi="宋体" w:cs="Times New Roman"/>
                <w:szCs w:val="21"/>
                <w:highlight w:val="none"/>
              </w:rPr>
            </w:pPr>
          </w:p>
          <w:p>
            <w:pPr>
              <w:tabs>
                <w:tab w:val="left" w:pos="1080"/>
              </w:tabs>
              <w:spacing w:line="400" w:lineRule="exact"/>
              <w:rPr>
                <w:rFonts w:hint="eastAsia" w:ascii="宋体" w:hAnsi="宋体" w:cs="Times New Roman"/>
                <w:szCs w:val="21"/>
                <w:highlight w:val="none"/>
              </w:rPr>
            </w:pPr>
            <w:r>
              <w:rPr>
                <w:rFonts w:hint="eastAsia" w:ascii="宋体" w:hAnsi="宋体" w:cs="Times New Roman"/>
                <w:szCs w:val="21"/>
                <w:highlight w:val="none"/>
                <w:lang w:val="en-US" w:eastAsia="zh-CN"/>
              </w:rPr>
              <w:t>公司拟定有《环境污染与突发环境事故应急预案》，2019年10月21日进行了火灾消防演习。</w:t>
            </w:r>
          </w:p>
        </w:tc>
        <w:tc>
          <w:tcPr>
            <w:tcW w:w="1109" w:type="dxa"/>
            <w:vAlign w:val="top"/>
          </w:tcPr>
          <w:p>
            <w:pPr>
              <w:adjustRightInd w:val="0"/>
              <w:snapToGrid w:val="0"/>
              <w:rPr>
                <w:rFonts w:hint="eastAsia" w:ascii="宋体" w:hAnsi="宋体"/>
                <w:szCs w:val="21"/>
                <w:lang w:val="en-US" w:eastAsia="zh-CN"/>
              </w:rPr>
            </w:pPr>
            <w:r>
              <w:rPr>
                <w:rFonts w:hint="eastAsia" w:ascii="宋体" w:hAnsi="宋体"/>
                <w:szCs w:val="21"/>
                <w:lang w:val="en-US" w:eastAsia="zh-CN"/>
              </w:rPr>
              <w:t>Q/E/S:8.1、8.2;</w:t>
            </w:r>
          </w:p>
          <w:p>
            <w:pPr>
              <w:adjustRightInd w:val="0"/>
              <w:snapToGrid w:val="0"/>
              <w:rPr>
                <w:rFonts w:hint="eastAsia" w:ascii="宋体" w:hAnsi="宋体"/>
                <w:szCs w:val="21"/>
                <w:lang w:val="en-US" w:eastAsia="zh-CN"/>
              </w:rPr>
            </w:pPr>
            <w:r>
              <w:rPr>
                <w:rFonts w:hint="eastAsia" w:ascii="宋体" w:hAnsi="宋体"/>
                <w:szCs w:val="21"/>
                <w:lang w:val="en-US" w:eastAsia="zh-CN"/>
              </w:rPr>
              <w:t>E/S;6.1.2;</w:t>
            </w:r>
          </w:p>
          <w:p>
            <w:pPr>
              <w:adjustRightInd w:val="0"/>
              <w:snapToGrid w:val="0"/>
              <w:rPr>
                <w:rFonts w:hint="default" w:ascii="宋体" w:hAnsi="宋体" w:eastAsia="宋体" w:cs="Times New Roman"/>
                <w:kern w:val="2"/>
                <w:sz w:val="21"/>
                <w:szCs w:val="21"/>
                <w:lang w:val="en-US" w:eastAsia="zh-CN" w:bidi="ar-SA"/>
              </w:rPr>
            </w:pPr>
            <w:r>
              <w:rPr>
                <w:rFonts w:hint="eastAsia" w:ascii="宋体" w:hAnsi="宋体"/>
                <w:szCs w:val="21"/>
                <w:lang w:val="en-US" w:eastAsia="zh-CN"/>
              </w:rPr>
              <w:t>Q8.3</w:t>
            </w:r>
          </w:p>
        </w:tc>
        <w:tc>
          <w:tcPr>
            <w:tcW w:w="425" w:type="dxa"/>
            <w:vAlign w:val="top"/>
          </w:tcPr>
          <w:p>
            <w:pPr>
              <w:tabs>
                <w:tab w:val="left" w:pos="1080"/>
              </w:tabs>
              <w:spacing w:line="400" w:lineRule="exact"/>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687" w:type="dxa"/>
            <w:vAlign w:val="top"/>
          </w:tcPr>
          <w:p>
            <w:pPr>
              <w:spacing w:line="400" w:lineRule="exact"/>
              <w:rPr>
                <w:rFonts w:hint="eastAsia" w:ascii="宋体" w:hAnsi="宋体"/>
                <w:szCs w:val="21"/>
              </w:rPr>
            </w:pPr>
            <w:r>
              <w:rPr>
                <w:rFonts w:hint="eastAsia" w:ascii="宋体" w:hAnsi="宋体"/>
                <w:szCs w:val="21"/>
              </w:rPr>
              <w:t>设计开发产品或项目名称</w:t>
            </w:r>
          </w:p>
          <w:p>
            <w:pPr>
              <w:spacing w:line="400" w:lineRule="exact"/>
              <w:rPr>
                <w:rFonts w:hint="eastAsia" w:ascii="宋体" w:hAnsi="宋体"/>
                <w:szCs w:val="21"/>
              </w:rPr>
            </w:pPr>
          </w:p>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主要原材料</w:t>
            </w:r>
          </w:p>
        </w:tc>
        <w:tc>
          <w:tcPr>
            <w:tcW w:w="5411" w:type="dxa"/>
            <w:vAlign w:val="top"/>
          </w:tcPr>
          <w:p>
            <w:pPr>
              <w:spacing w:line="400" w:lineRule="exact"/>
              <w:rPr>
                <w:rFonts w:hint="eastAsia" w:ascii="宋体" w:hAnsi="宋体"/>
                <w:szCs w:val="21"/>
              </w:rPr>
            </w:pPr>
            <w:r>
              <w:rPr>
                <w:rFonts w:hint="eastAsia" w:ascii="宋体" w:hAnsi="宋体"/>
                <w:szCs w:val="21"/>
              </w:rPr>
              <w:t>无</w:t>
            </w:r>
          </w:p>
          <w:p>
            <w:pPr>
              <w:spacing w:line="400" w:lineRule="exact"/>
              <w:rPr>
                <w:rFonts w:hint="eastAsia" w:ascii="宋体" w:hAnsi="宋体"/>
                <w:szCs w:val="21"/>
              </w:rPr>
            </w:pPr>
          </w:p>
          <w:p>
            <w:pPr>
              <w:spacing w:line="400" w:lineRule="exact"/>
              <w:rPr>
                <w:rFonts w:hint="eastAsia"/>
                <w:highlight w:val="none"/>
                <w:lang w:val="en-US" w:eastAsia="zh-CN"/>
              </w:rPr>
            </w:pPr>
            <w:r>
              <w:rPr>
                <w:rFonts w:hint="eastAsia" w:ascii="宋体" w:hAnsi="宋体"/>
                <w:szCs w:val="21"/>
              </w:rPr>
              <w:t>化学药剂、辅助工具等</w:t>
            </w:r>
          </w:p>
        </w:tc>
        <w:tc>
          <w:tcPr>
            <w:tcW w:w="1109" w:type="dxa"/>
            <w:vAlign w:val="top"/>
          </w:tcPr>
          <w:p>
            <w:pPr>
              <w:spacing w:line="440" w:lineRule="exact"/>
              <w:jc w:val="left"/>
              <w:rPr>
                <w:rFonts w:hint="default" w:ascii="宋体" w:hAnsi="宋体" w:eastAsia="宋体" w:cs="Times New Roman"/>
                <w:kern w:val="2"/>
                <w:sz w:val="21"/>
                <w:szCs w:val="21"/>
                <w:lang w:val="en-US" w:eastAsia="zh-CN" w:bidi="ar-SA"/>
              </w:rPr>
            </w:pPr>
            <w:r>
              <w:rPr>
                <w:rFonts w:hint="eastAsia" w:ascii="宋体" w:hAnsi="宋体"/>
                <w:szCs w:val="21"/>
                <w:lang w:val="en-US" w:eastAsia="zh-CN"/>
              </w:rPr>
              <w:t>Q8.3</w:t>
            </w:r>
          </w:p>
        </w:tc>
        <w:tc>
          <w:tcPr>
            <w:tcW w:w="425"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687" w:type="dxa"/>
            <w:vAlign w:val="top"/>
          </w:tcPr>
          <w:p>
            <w:pPr>
              <w:spacing w:line="400" w:lineRule="exact"/>
              <w:rPr>
                <w:rFonts w:ascii="宋体" w:hAnsi="宋体"/>
                <w:color w:val="auto"/>
                <w:szCs w:val="21"/>
                <w:highlight w:val="none"/>
                <w:u w:val="single"/>
              </w:rPr>
            </w:pPr>
            <w:r>
              <w:rPr>
                <w:rFonts w:hint="eastAsia" w:ascii="宋体" w:hAnsi="宋体"/>
                <w:color w:val="auto"/>
                <w:szCs w:val="21"/>
                <w:highlight w:val="none"/>
                <w:u w:val="single"/>
              </w:rPr>
              <w:t>员工人数</w:t>
            </w:r>
          </w:p>
          <w:p>
            <w:pPr>
              <w:spacing w:line="400" w:lineRule="exact"/>
              <w:rPr>
                <w:rFonts w:ascii="宋体" w:hAnsi="宋体"/>
                <w:color w:val="auto"/>
                <w:szCs w:val="21"/>
                <w:highlight w:val="none"/>
              </w:rPr>
            </w:pPr>
            <w:r>
              <w:rPr>
                <w:rFonts w:hint="eastAsia" w:ascii="宋体" w:hAnsi="宋体"/>
                <w:color w:val="auto"/>
                <w:szCs w:val="21"/>
                <w:highlight w:val="none"/>
              </w:rPr>
              <w:t>关键岗位持证上岗人员</w:t>
            </w:r>
          </w:p>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特殊工种人员</w:t>
            </w:r>
          </w:p>
        </w:tc>
        <w:tc>
          <w:tcPr>
            <w:tcW w:w="5411" w:type="dxa"/>
            <w:vAlign w:val="top"/>
          </w:tcPr>
          <w:p>
            <w:pPr>
              <w:spacing w:line="400" w:lineRule="exact"/>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人</w:t>
            </w:r>
          </w:p>
          <w:p>
            <w:pPr>
              <w:spacing w:line="400" w:lineRule="exact"/>
              <w:rPr>
                <w:rFonts w:ascii="宋体" w:hAnsi="宋体"/>
                <w:szCs w:val="21"/>
              </w:rPr>
            </w:pPr>
            <w:r>
              <w:rPr>
                <w:rFonts w:hint="eastAsia" w:ascii="宋体" w:hAnsi="宋体"/>
                <w:szCs w:val="21"/>
              </w:rPr>
              <w:t>操作工</w:t>
            </w:r>
          </w:p>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szCs w:val="21"/>
              </w:rPr>
              <w:t>有害生物防治员</w:t>
            </w:r>
          </w:p>
        </w:tc>
        <w:tc>
          <w:tcPr>
            <w:tcW w:w="1109" w:type="dxa"/>
            <w:vAlign w:val="top"/>
          </w:tcPr>
          <w:p>
            <w:pPr>
              <w:spacing w:line="440" w:lineRule="exact"/>
              <w:jc w:val="left"/>
              <w:rPr>
                <w:rFonts w:hint="default" w:ascii="宋体" w:hAnsi="宋体" w:eastAsia="宋体" w:cs="Times New Roman"/>
                <w:color w:val="auto"/>
                <w:kern w:val="2"/>
                <w:sz w:val="21"/>
                <w:szCs w:val="21"/>
                <w:lang w:val="en-US" w:eastAsia="zh-CN" w:bidi="ar-SA"/>
              </w:rPr>
            </w:pPr>
            <w:r>
              <w:rPr>
                <w:rFonts w:hint="eastAsia" w:ascii="宋体" w:hAnsi="宋体"/>
                <w:szCs w:val="21"/>
                <w:lang w:val="en-US" w:eastAsia="zh-CN"/>
              </w:rPr>
              <w:t>Q/E/S:7.2</w:t>
            </w:r>
          </w:p>
        </w:tc>
        <w:tc>
          <w:tcPr>
            <w:tcW w:w="425"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ascii="宋体" w:hAnsi="宋体"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vAlign w:val="top"/>
          </w:tcPr>
          <w:p>
            <w:pPr>
              <w:spacing w:line="400" w:lineRule="exact"/>
              <w:rPr>
                <w:rFonts w:ascii="宋体" w:hAnsi="宋体"/>
                <w:color w:val="auto"/>
                <w:szCs w:val="21"/>
                <w:highlight w:val="none"/>
              </w:rPr>
            </w:pPr>
            <w:r>
              <w:rPr>
                <w:rFonts w:hint="eastAsia" w:ascii="宋体" w:hAnsi="宋体"/>
                <w:color w:val="auto"/>
                <w:szCs w:val="21"/>
                <w:highlight w:val="none"/>
              </w:rPr>
              <w:t>主要生产设备</w:t>
            </w:r>
          </w:p>
          <w:p>
            <w:pPr>
              <w:spacing w:line="400" w:lineRule="exact"/>
              <w:rPr>
                <w:rFonts w:hint="eastAsia" w:ascii="宋体" w:hAnsi="宋体"/>
                <w:color w:val="auto"/>
                <w:szCs w:val="21"/>
                <w:highlight w:val="none"/>
              </w:rPr>
            </w:pPr>
          </w:p>
          <w:p>
            <w:pPr>
              <w:spacing w:line="400" w:lineRule="exact"/>
              <w:rPr>
                <w:rFonts w:hint="eastAsia" w:ascii="宋体" w:hAnsi="宋体"/>
                <w:color w:val="auto"/>
                <w:szCs w:val="21"/>
                <w:highlight w:val="none"/>
              </w:rPr>
            </w:pPr>
          </w:p>
          <w:p>
            <w:pPr>
              <w:spacing w:line="400" w:lineRule="exact"/>
              <w:rPr>
                <w:rFonts w:hint="eastAsia" w:ascii="宋体" w:hAnsi="宋体"/>
                <w:color w:val="auto"/>
                <w:szCs w:val="21"/>
                <w:highlight w:val="none"/>
              </w:rPr>
            </w:pPr>
          </w:p>
          <w:p>
            <w:pPr>
              <w:spacing w:line="400" w:lineRule="exact"/>
              <w:rPr>
                <w:rFonts w:hint="eastAsia" w:ascii="宋体" w:hAnsi="宋体"/>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特种设备</w:t>
            </w:r>
          </w:p>
          <w:p>
            <w:pPr>
              <w:spacing w:line="400" w:lineRule="exact"/>
              <w:rPr>
                <w:rFonts w:hint="eastAsia" w:ascii="宋体" w:hAnsi="宋体"/>
                <w:color w:val="auto"/>
                <w:szCs w:val="21"/>
                <w:highlight w:val="none"/>
              </w:rPr>
            </w:pPr>
          </w:p>
          <w:p>
            <w:pPr>
              <w:spacing w:line="400" w:lineRule="exact"/>
              <w:rPr>
                <w:color w:val="auto"/>
                <w:szCs w:val="21"/>
                <w:highlight w:val="none"/>
              </w:rPr>
            </w:pPr>
            <w:r>
              <w:rPr>
                <w:rFonts w:hint="eastAsia"/>
                <w:color w:val="auto"/>
                <w:szCs w:val="21"/>
                <w:highlight w:val="none"/>
              </w:rPr>
              <w:t>环保设施（EMS）</w:t>
            </w:r>
          </w:p>
          <w:p>
            <w:pPr>
              <w:spacing w:line="400" w:lineRule="exact"/>
              <w:rPr>
                <w:rFonts w:hint="eastAsia"/>
                <w:color w:val="auto"/>
                <w:szCs w:val="21"/>
                <w:highlight w:val="none"/>
              </w:rPr>
            </w:pPr>
            <w:r>
              <w:rPr>
                <w:rFonts w:hint="eastAsia"/>
                <w:color w:val="auto"/>
                <w:szCs w:val="21"/>
                <w:highlight w:val="none"/>
              </w:rPr>
              <w:t>安全设施（OHSMS）</w:t>
            </w:r>
          </w:p>
          <w:p>
            <w:pPr>
              <w:spacing w:line="400" w:lineRule="exact"/>
              <w:rPr>
                <w:rFonts w:hint="eastAsia"/>
                <w:color w:val="auto"/>
                <w:szCs w:val="21"/>
                <w:highlight w:val="none"/>
              </w:rPr>
            </w:pPr>
          </w:p>
          <w:p>
            <w:pPr>
              <w:spacing w:line="400" w:lineRule="exact"/>
              <w:rPr>
                <w:rFonts w:hint="eastAsia"/>
                <w:color w:val="auto"/>
                <w:szCs w:val="21"/>
                <w:highlight w:val="none"/>
              </w:rPr>
            </w:pPr>
            <w:r>
              <w:rPr>
                <w:rFonts w:hint="eastAsia"/>
                <w:color w:val="auto"/>
                <w:szCs w:val="21"/>
                <w:highlight w:val="none"/>
              </w:rPr>
              <w:t>主要检测设备及设备的检定/校准（QMS）</w:t>
            </w:r>
          </w:p>
          <w:p>
            <w:pPr>
              <w:spacing w:line="400" w:lineRule="exact"/>
              <w:rPr>
                <w:rFonts w:hint="eastAsia"/>
                <w:color w:val="auto"/>
                <w:szCs w:val="21"/>
                <w:highlight w:val="none"/>
              </w:rPr>
            </w:pPr>
          </w:p>
          <w:p>
            <w:pPr>
              <w:spacing w:line="400" w:lineRule="exact"/>
              <w:rPr>
                <w:rFonts w:hint="eastAsia"/>
                <w:color w:val="auto"/>
                <w:szCs w:val="21"/>
                <w:highlight w:val="none"/>
              </w:rPr>
            </w:pPr>
            <w:r>
              <w:rPr>
                <w:rFonts w:hint="eastAsia"/>
                <w:color w:val="auto"/>
                <w:szCs w:val="21"/>
                <w:highlight w:val="none"/>
              </w:rPr>
              <w:t>环保监测设备（EMS）</w:t>
            </w:r>
          </w:p>
          <w:p>
            <w:pPr>
              <w:spacing w:line="400" w:lineRule="exact"/>
              <w:rPr>
                <w:rFonts w:hint="eastAsia"/>
                <w:color w:val="auto"/>
                <w:szCs w:val="21"/>
                <w:highlight w:val="none"/>
              </w:rPr>
            </w:pPr>
          </w:p>
          <w:p>
            <w:pPr>
              <w:spacing w:line="400" w:lineRule="exac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安全监测设备（OHSMS）</w:t>
            </w:r>
          </w:p>
        </w:tc>
        <w:tc>
          <w:tcPr>
            <w:tcW w:w="5411" w:type="dxa"/>
            <w:vAlign w:val="top"/>
          </w:tcPr>
          <w:p>
            <w:pPr>
              <w:spacing w:line="400" w:lineRule="exact"/>
              <w:rPr>
                <w:rFonts w:ascii="宋体" w:hAnsi="宋体" w:cs="宋体"/>
                <w:szCs w:val="21"/>
              </w:rPr>
            </w:pPr>
            <w:r>
              <w:rPr>
                <w:rFonts w:hint="eastAsia" w:ascii="宋体" w:hAnsi="宋体" w:cs="宋体"/>
                <w:szCs w:val="21"/>
              </w:rPr>
              <w:t>喷药设备(手推式喷雾机、背负式喷雾机、手提式喷雾机)、应急防护包、灭火器、梯子、溢漏应急包、工作警示牌、个人防护装备（如：工作服、呼吸面具、安全帽、护目镜等）及办公设备等。</w:t>
            </w:r>
          </w:p>
          <w:p>
            <w:pPr>
              <w:spacing w:line="400" w:lineRule="exact"/>
              <w:rPr>
                <w:rFonts w:ascii="宋体" w:hAnsi="宋体"/>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无</w:t>
            </w:r>
          </w:p>
          <w:p>
            <w:pPr>
              <w:spacing w:line="400" w:lineRule="exact"/>
              <w:rPr>
                <w:rFonts w:hint="eastAsia" w:ascii="宋体" w:hAnsi="宋体"/>
                <w:color w:val="auto"/>
                <w:szCs w:val="21"/>
                <w:highlight w:val="none"/>
              </w:rPr>
            </w:pPr>
          </w:p>
          <w:p>
            <w:pPr>
              <w:spacing w:line="400" w:lineRule="exact"/>
              <w:rPr>
                <w:color w:val="auto"/>
                <w:szCs w:val="21"/>
                <w:highlight w:val="none"/>
              </w:rPr>
            </w:pPr>
            <w:r>
              <w:rPr>
                <w:rFonts w:hint="eastAsia"/>
                <w:color w:val="auto"/>
                <w:szCs w:val="21"/>
                <w:highlight w:val="none"/>
              </w:rPr>
              <w:t>消防栓、灭火器</w:t>
            </w:r>
          </w:p>
          <w:p>
            <w:pPr>
              <w:spacing w:line="400" w:lineRule="exact"/>
              <w:rPr>
                <w:rFonts w:hint="eastAsia"/>
                <w:color w:val="auto"/>
                <w:szCs w:val="21"/>
                <w:highlight w:val="none"/>
              </w:rPr>
            </w:pPr>
            <w:r>
              <w:rPr>
                <w:rFonts w:hint="eastAsia"/>
                <w:color w:val="auto"/>
                <w:szCs w:val="21"/>
                <w:highlight w:val="none"/>
              </w:rPr>
              <w:t>配电箱、空开</w:t>
            </w:r>
          </w:p>
          <w:p>
            <w:pPr>
              <w:spacing w:line="400" w:lineRule="exact"/>
              <w:rPr>
                <w:rFonts w:hint="eastAsia"/>
                <w:color w:val="auto"/>
                <w:szCs w:val="21"/>
                <w:highlight w:val="none"/>
              </w:rPr>
            </w:pPr>
          </w:p>
          <w:p>
            <w:pPr>
              <w:spacing w:line="400" w:lineRule="exact"/>
              <w:rPr>
                <w:rFonts w:ascii="宋体" w:hAnsi="宋体"/>
                <w:szCs w:val="21"/>
              </w:rPr>
            </w:pPr>
            <w:r>
              <w:rPr>
                <w:rFonts w:hint="eastAsia" w:ascii="宋体" w:hAnsi="宋体"/>
                <w:szCs w:val="21"/>
              </w:rPr>
              <w:t>暂未配置检测设备等，治理后</w:t>
            </w:r>
            <w:r>
              <w:rPr>
                <w:rFonts w:hint="eastAsia" w:ascii="宋体" w:hAnsi="宋体"/>
                <w:szCs w:val="21"/>
                <w:lang w:eastAsia="zh-CN"/>
              </w:rPr>
              <w:t>由客户验收</w:t>
            </w:r>
            <w:r>
              <w:rPr>
                <w:rFonts w:hint="eastAsia" w:ascii="宋体" w:hAnsi="宋体"/>
                <w:szCs w:val="21"/>
              </w:rPr>
              <w:t>。</w:t>
            </w:r>
          </w:p>
          <w:p>
            <w:pPr>
              <w:spacing w:line="400" w:lineRule="exact"/>
              <w:rPr>
                <w:rFonts w:hint="eastAsia"/>
                <w:color w:val="auto"/>
                <w:szCs w:val="21"/>
                <w:highlight w:val="none"/>
              </w:rPr>
            </w:pPr>
          </w:p>
          <w:p>
            <w:pPr>
              <w:spacing w:line="400" w:lineRule="exact"/>
              <w:rPr>
                <w:rFonts w:hint="eastAsia"/>
                <w:color w:val="auto"/>
                <w:szCs w:val="21"/>
                <w:highlight w:val="none"/>
              </w:rPr>
            </w:pPr>
            <w:r>
              <w:rPr>
                <w:rFonts w:hint="eastAsia"/>
                <w:color w:val="auto"/>
                <w:szCs w:val="21"/>
                <w:highlight w:val="none"/>
              </w:rPr>
              <w:t>无</w:t>
            </w:r>
          </w:p>
          <w:p>
            <w:pPr>
              <w:spacing w:line="400" w:lineRule="exact"/>
              <w:rPr>
                <w:rFonts w:hint="eastAsia"/>
                <w:color w:val="auto"/>
                <w:szCs w:val="21"/>
                <w:highlight w:val="none"/>
              </w:rPr>
            </w:pPr>
          </w:p>
          <w:p>
            <w:pPr>
              <w:spacing w:line="400" w:lineRule="exac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无</w:t>
            </w:r>
          </w:p>
        </w:tc>
        <w:tc>
          <w:tcPr>
            <w:tcW w:w="1109" w:type="dxa"/>
            <w:vAlign w:val="top"/>
          </w:tcPr>
          <w:p>
            <w:pPr>
              <w:spacing w:line="44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Q/E/S:7.1</w:t>
            </w: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both"/>
              <w:rPr>
                <w:rFonts w:hint="default" w:ascii="宋体" w:hAnsi="宋体" w:eastAsia="宋体" w:cs="Times New Roman"/>
                <w:color w:val="auto"/>
                <w:kern w:val="2"/>
                <w:sz w:val="21"/>
                <w:szCs w:val="21"/>
                <w:highlight w:val="none"/>
                <w:lang w:val="en-US" w:eastAsia="zh-CN" w:bidi="ar-SA"/>
              </w:rPr>
            </w:pPr>
          </w:p>
        </w:tc>
        <w:tc>
          <w:tcPr>
            <w:tcW w:w="425" w:type="dxa"/>
            <w:vAlign w:val="top"/>
          </w:tcPr>
          <w:p>
            <w:pPr>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符合</w:t>
            </w: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both"/>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687" w:type="dxa"/>
            <w:vAlign w:val="top"/>
          </w:tcPr>
          <w:p>
            <w:pPr>
              <w:spacing w:line="400" w:lineRule="exact"/>
              <w:rPr>
                <w:rFonts w:ascii="宋体" w:hAnsi="宋体"/>
                <w:szCs w:val="21"/>
                <w:highlight w:val="none"/>
              </w:rPr>
            </w:pPr>
            <w:r>
              <w:rPr>
                <w:rFonts w:hint="eastAsia" w:ascii="宋体" w:hAnsi="宋体"/>
                <w:szCs w:val="21"/>
                <w:highlight w:val="none"/>
              </w:rPr>
              <w:t>周边环境（EMS）</w:t>
            </w:r>
          </w:p>
          <w:p>
            <w:pPr>
              <w:spacing w:line="400" w:lineRule="exact"/>
              <w:rPr>
                <w:rFonts w:ascii="宋体" w:hAnsi="宋体"/>
                <w:szCs w:val="21"/>
                <w:highlight w:val="none"/>
              </w:rPr>
            </w:pPr>
            <w:r>
              <w:rPr>
                <w:rFonts w:hint="eastAsia" w:ascii="宋体" w:hAnsi="宋体"/>
                <w:szCs w:val="21"/>
                <w:highlight w:val="none"/>
              </w:rPr>
              <w:t>场区布局（一级风险）</w:t>
            </w:r>
          </w:p>
          <w:p>
            <w:pPr>
              <w:spacing w:line="400" w:lineRule="exact"/>
              <w:rPr>
                <w:rFonts w:ascii="宋体" w:hAnsi="宋体"/>
                <w:szCs w:val="21"/>
                <w:highlight w:val="none"/>
              </w:rPr>
            </w:pPr>
            <w:r>
              <w:rPr>
                <w:rFonts w:hint="eastAsia" w:ascii="宋体" w:hAnsi="宋体"/>
                <w:szCs w:val="21"/>
                <w:highlight w:val="none"/>
              </w:rPr>
              <w:t>排污口及排污管网（一级风险）</w:t>
            </w:r>
          </w:p>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关注动力装置场所、危险化学品仓库、固废堆放场所</w:t>
            </w:r>
          </w:p>
        </w:tc>
        <w:tc>
          <w:tcPr>
            <w:tcW w:w="5411" w:type="dxa"/>
            <w:vAlign w:val="top"/>
          </w:tcPr>
          <w:p>
            <w:pPr>
              <w:spacing w:line="400" w:lineRule="exact"/>
              <w:rPr>
                <w:szCs w:val="21"/>
              </w:rPr>
            </w:pPr>
            <w:r>
              <w:rPr>
                <w:rFonts w:hint="eastAsia"/>
                <w:szCs w:val="21"/>
              </w:rPr>
              <w:t>在</w:t>
            </w:r>
            <w:r>
              <w:rPr>
                <w:rFonts w:hint="eastAsia"/>
                <w:szCs w:val="21"/>
                <w:lang w:eastAsia="zh-CN"/>
              </w:rPr>
              <w:t>住宅小区</w:t>
            </w:r>
            <w:r>
              <w:rPr>
                <w:rFonts w:hint="eastAsia"/>
                <w:szCs w:val="21"/>
              </w:rPr>
              <w:t>内</w:t>
            </w:r>
          </w:p>
          <w:p>
            <w:pPr>
              <w:spacing w:line="400" w:lineRule="exact"/>
              <w:rPr>
                <w:rFonts w:ascii="宋体" w:hAnsi="宋体"/>
                <w:szCs w:val="21"/>
                <w:highlight w:val="none"/>
              </w:rPr>
            </w:pPr>
          </w:p>
          <w:p>
            <w:pPr>
              <w:spacing w:line="400" w:lineRule="exact"/>
              <w:rPr>
                <w:rFonts w:hint="eastAsia" w:ascii="宋体" w:hAnsi="宋体" w:eastAsia="宋体" w:cs="Times New Roman"/>
                <w:kern w:val="2"/>
                <w:sz w:val="21"/>
                <w:szCs w:val="21"/>
                <w:highlight w:val="none"/>
                <w:lang w:val="en-US" w:eastAsia="zh-CN" w:bidi="ar-SA"/>
              </w:rPr>
            </w:pPr>
          </w:p>
        </w:tc>
        <w:tc>
          <w:tcPr>
            <w:tcW w:w="1109" w:type="dxa"/>
          </w:tcPr>
          <w:p>
            <w:pPr>
              <w:spacing w:line="440" w:lineRule="exact"/>
              <w:jc w:val="center"/>
              <w:rPr>
                <w:rFonts w:ascii="宋体" w:hAnsi="宋体"/>
                <w:szCs w:val="21"/>
              </w:rPr>
            </w:pPr>
          </w:p>
        </w:tc>
        <w:tc>
          <w:tcPr>
            <w:tcW w:w="425"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687"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高处作业、高粉尘作业、机械加工、压力容器操作、有毒化学品车间、危险化学品仓库和储存罐区等高风险作业场所</w:t>
            </w:r>
          </w:p>
        </w:tc>
        <w:tc>
          <w:tcPr>
            <w:tcW w:w="5411" w:type="dxa"/>
            <w:vAlign w:val="top"/>
          </w:tcPr>
          <w:p>
            <w:pPr>
              <w:spacing w:line="400" w:lineRule="exact"/>
              <w:rPr>
                <w:rFonts w:hint="eastAsia" w:ascii="宋体" w:hAnsi="宋体" w:eastAsia="宋体" w:cs="Times New Roman"/>
                <w:kern w:val="2"/>
                <w:sz w:val="21"/>
                <w:szCs w:val="21"/>
                <w:lang w:val="en-US" w:eastAsia="zh-CN" w:bidi="ar-SA"/>
              </w:rPr>
            </w:pPr>
            <w:r>
              <w:rPr>
                <w:rFonts w:hint="eastAsia"/>
                <w:szCs w:val="21"/>
              </w:rPr>
              <w:t>无高风险作业场所</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顾客及相关方投诉</w:t>
            </w:r>
          </w:p>
        </w:tc>
        <w:tc>
          <w:tcPr>
            <w:tcW w:w="5411"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暂无</w:t>
            </w:r>
          </w:p>
        </w:tc>
        <w:tc>
          <w:tcPr>
            <w:tcW w:w="1109" w:type="dxa"/>
          </w:tcPr>
          <w:p>
            <w:pPr>
              <w:spacing w:line="440" w:lineRule="exact"/>
              <w:jc w:val="left"/>
              <w:rPr>
                <w:rFonts w:hint="default" w:ascii="宋体" w:hAnsi="宋体" w:eastAsia="宋体"/>
                <w:szCs w:val="21"/>
                <w:lang w:val="en-US" w:eastAsia="zh-CN"/>
              </w:rPr>
            </w:pPr>
            <w:r>
              <w:rPr>
                <w:rFonts w:hint="eastAsia" w:ascii="宋体" w:hAnsi="宋体"/>
                <w:szCs w:val="21"/>
                <w:lang w:val="en-US" w:eastAsia="zh-CN"/>
              </w:rPr>
              <w:t>Q/E/S:10.2</w:t>
            </w:r>
          </w:p>
        </w:tc>
        <w:tc>
          <w:tcPr>
            <w:tcW w:w="425"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sectPr>
      <w:headerReference r:id="rId3" w:type="default"/>
      <w:footerReference r:id="rId4" w:type="default"/>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ind w:firstLine="720" w:firstLineChars="400"/>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65BF1F"/>
    <w:multiLevelType w:val="singleLevel"/>
    <w:tmpl w:val="E665BF1F"/>
    <w:lvl w:ilvl="0" w:tentative="0">
      <w:start w:val="1"/>
      <w:numFmt w:val="decimal"/>
      <w:suff w:val="nothing"/>
      <w:lvlText w:val="%1、"/>
      <w:lvlJc w:val="left"/>
    </w:lvl>
  </w:abstractNum>
  <w:abstractNum w:abstractNumId="1">
    <w:nsid w:val="2C599BFF"/>
    <w:multiLevelType w:val="singleLevel"/>
    <w:tmpl w:val="2C599BF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6E21"/>
    <w:rsid w:val="0003373A"/>
    <w:rsid w:val="0003666F"/>
    <w:rsid w:val="00084386"/>
    <w:rsid w:val="000C0711"/>
    <w:rsid w:val="00105A91"/>
    <w:rsid w:val="001A2D7F"/>
    <w:rsid w:val="001F5FC8"/>
    <w:rsid w:val="002B142A"/>
    <w:rsid w:val="002B6B8C"/>
    <w:rsid w:val="00337922"/>
    <w:rsid w:val="00340867"/>
    <w:rsid w:val="00380837"/>
    <w:rsid w:val="0039337B"/>
    <w:rsid w:val="003B2665"/>
    <w:rsid w:val="003C6DA1"/>
    <w:rsid w:val="003D0050"/>
    <w:rsid w:val="003F3AF2"/>
    <w:rsid w:val="00405E02"/>
    <w:rsid w:val="00407627"/>
    <w:rsid w:val="00410914"/>
    <w:rsid w:val="004814B4"/>
    <w:rsid w:val="004E2167"/>
    <w:rsid w:val="00536930"/>
    <w:rsid w:val="00564E53"/>
    <w:rsid w:val="005F08EC"/>
    <w:rsid w:val="00603BE2"/>
    <w:rsid w:val="00624BCF"/>
    <w:rsid w:val="00631E3F"/>
    <w:rsid w:val="00644FE2"/>
    <w:rsid w:val="0067640C"/>
    <w:rsid w:val="006E678B"/>
    <w:rsid w:val="006F08B1"/>
    <w:rsid w:val="007345CC"/>
    <w:rsid w:val="0075447B"/>
    <w:rsid w:val="007757F3"/>
    <w:rsid w:val="007851D6"/>
    <w:rsid w:val="007D1240"/>
    <w:rsid w:val="007E6AEB"/>
    <w:rsid w:val="00824194"/>
    <w:rsid w:val="00871C15"/>
    <w:rsid w:val="008973EE"/>
    <w:rsid w:val="008C7D6A"/>
    <w:rsid w:val="008D6159"/>
    <w:rsid w:val="00962F40"/>
    <w:rsid w:val="00971600"/>
    <w:rsid w:val="009973B4"/>
    <w:rsid w:val="009F7EED"/>
    <w:rsid w:val="00A608A8"/>
    <w:rsid w:val="00AA60F8"/>
    <w:rsid w:val="00AC3A96"/>
    <w:rsid w:val="00AF0AAB"/>
    <w:rsid w:val="00B258C1"/>
    <w:rsid w:val="00B2778C"/>
    <w:rsid w:val="00B40DF4"/>
    <w:rsid w:val="00BA70EA"/>
    <w:rsid w:val="00BC384E"/>
    <w:rsid w:val="00BF597E"/>
    <w:rsid w:val="00C51A36"/>
    <w:rsid w:val="00C55228"/>
    <w:rsid w:val="00CE1E44"/>
    <w:rsid w:val="00CE315A"/>
    <w:rsid w:val="00D06F59"/>
    <w:rsid w:val="00D8388C"/>
    <w:rsid w:val="00D93A54"/>
    <w:rsid w:val="00E250F2"/>
    <w:rsid w:val="00E30B07"/>
    <w:rsid w:val="00E74966"/>
    <w:rsid w:val="00EB0164"/>
    <w:rsid w:val="00ED0F62"/>
    <w:rsid w:val="00F71ED3"/>
    <w:rsid w:val="00F86205"/>
    <w:rsid w:val="00F92A10"/>
    <w:rsid w:val="00FD77A8"/>
    <w:rsid w:val="011918D5"/>
    <w:rsid w:val="01FD2F8F"/>
    <w:rsid w:val="02700AF8"/>
    <w:rsid w:val="02914DB0"/>
    <w:rsid w:val="02FE79AF"/>
    <w:rsid w:val="03007B7B"/>
    <w:rsid w:val="04423B99"/>
    <w:rsid w:val="07445AED"/>
    <w:rsid w:val="07C754EB"/>
    <w:rsid w:val="08A46BAD"/>
    <w:rsid w:val="09814CE0"/>
    <w:rsid w:val="098C0892"/>
    <w:rsid w:val="09B5169F"/>
    <w:rsid w:val="09B92F09"/>
    <w:rsid w:val="09F945D6"/>
    <w:rsid w:val="0A913774"/>
    <w:rsid w:val="0AA54F4C"/>
    <w:rsid w:val="0C8A0D61"/>
    <w:rsid w:val="0CE24FBA"/>
    <w:rsid w:val="0CF13D82"/>
    <w:rsid w:val="0D0A51CF"/>
    <w:rsid w:val="0D1C33EC"/>
    <w:rsid w:val="0D714F8D"/>
    <w:rsid w:val="0E25209A"/>
    <w:rsid w:val="0E4038B6"/>
    <w:rsid w:val="0EE27924"/>
    <w:rsid w:val="0F083958"/>
    <w:rsid w:val="0F8C54F8"/>
    <w:rsid w:val="10584347"/>
    <w:rsid w:val="108219C2"/>
    <w:rsid w:val="10B15952"/>
    <w:rsid w:val="10BA3FA3"/>
    <w:rsid w:val="11F56EAC"/>
    <w:rsid w:val="132D5537"/>
    <w:rsid w:val="13F86CC6"/>
    <w:rsid w:val="144D16A3"/>
    <w:rsid w:val="14DB0526"/>
    <w:rsid w:val="161D477A"/>
    <w:rsid w:val="173A44ED"/>
    <w:rsid w:val="17CD60FD"/>
    <w:rsid w:val="1882256B"/>
    <w:rsid w:val="188A5B45"/>
    <w:rsid w:val="18B263A6"/>
    <w:rsid w:val="18F3496B"/>
    <w:rsid w:val="19C315EE"/>
    <w:rsid w:val="1A3165D0"/>
    <w:rsid w:val="1AA33C59"/>
    <w:rsid w:val="1ADB1E14"/>
    <w:rsid w:val="1B0A383C"/>
    <w:rsid w:val="1B1566FD"/>
    <w:rsid w:val="1B883AC7"/>
    <w:rsid w:val="1BF94737"/>
    <w:rsid w:val="1C2003B1"/>
    <w:rsid w:val="1C9555C2"/>
    <w:rsid w:val="1D2B6FEF"/>
    <w:rsid w:val="1D5C04E8"/>
    <w:rsid w:val="1ED13539"/>
    <w:rsid w:val="1EF86DD0"/>
    <w:rsid w:val="1F420E47"/>
    <w:rsid w:val="1F8C637A"/>
    <w:rsid w:val="20205300"/>
    <w:rsid w:val="2030757B"/>
    <w:rsid w:val="20741E17"/>
    <w:rsid w:val="21945457"/>
    <w:rsid w:val="21E157F5"/>
    <w:rsid w:val="22873E91"/>
    <w:rsid w:val="22880FC5"/>
    <w:rsid w:val="22B20271"/>
    <w:rsid w:val="235655DB"/>
    <w:rsid w:val="23736467"/>
    <w:rsid w:val="23CF173A"/>
    <w:rsid w:val="245E25DF"/>
    <w:rsid w:val="247567D5"/>
    <w:rsid w:val="24B15749"/>
    <w:rsid w:val="25C93BBE"/>
    <w:rsid w:val="262D7703"/>
    <w:rsid w:val="2699614F"/>
    <w:rsid w:val="269C7422"/>
    <w:rsid w:val="27845C79"/>
    <w:rsid w:val="284A3DE3"/>
    <w:rsid w:val="285C040E"/>
    <w:rsid w:val="288A6EBF"/>
    <w:rsid w:val="29BB19CF"/>
    <w:rsid w:val="2AE23791"/>
    <w:rsid w:val="2D3D6356"/>
    <w:rsid w:val="2D453746"/>
    <w:rsid w:val="2D89725D"/>
    <w:rsid w:val="2DDE0A93"/>
    <w:rsid w:val="2E337362"/>
    <w:rsid w:val="2E8F3862"/>
    <w:rsid w:val="2ECF72A4"/>
    <w:rsid w:val="2EF57FB6"/>
    <w:rsid w:val="2F09530F"/>
    <w:rsid w:val="30BE2F3F"/>
    <w:rsid w:val="31D15F9B"/>
    <w:rsid w:val="322835E6"/>
    <w:rsid w:val="32AF550F"/>
    <w:rsid w:val="32E72F3A"/>
    <w:rsid w:val="32F340D2"/>
    <w:rsid w:val="334C23AF"/>
    <w:rsid w:val="33E514FD"/>
    <w:rsid w:val="33EE5BC9"/>
    <w:rsid w:val="34071B60"/>
    <w:rsid w:val="346041F3"/>
    <w:rsid w:val="34814B73"/>
    <w:rsid w:val="348A1928"/>
    <w:rsid w:val="34B3178E"/>
    <w:rsid w:val="34FB51F4"/>
    <w:rsid w:val="350E46E6"/>
    <w:rsid w:val="35424DD4"/>
    <w:rsid w:val="3547482C"/>
    <w:rsid w:val="359B21F0"/>
    <w:rsid w:val="36513486"/>
    <w:rsid w:val="366B593C"/>
    <w:rsid w:val="36BA30AC"/>
    <w:rsid w:val="36BC3DA1"/>
    <w:rsid w:val="36EF03C4"/>
    <w:rsid w:val="37F1152D"/>
    <w:rsid w:val="37F37F6B"/>
    <w:rsid w:val="38306926"/>
    <w:rsid w:val="3A0069CD"/>
    <w:rsid w:val="3BAA4EE5"/>
    <w:rsid w:val="3CFE2C36"/>
    <w:rsid w:val="3D31019E"/>
    <w:rsid w:val="3DD61C5E"/>
    <w:rsid w:val="3E011D0B"/>
    <w:rsid w:val="3E4A2DC0"/>
    <w:rsid w:val="3F0653EB"/>
    <w:rsid w:val="3F0B0F41"/>
    <w:rsid w:val="3F480834"/>
    <w:rsid w:val="3F520E28"/>
    <w:rsid w:val="3F60400C"/>
    <w:rsid w:val="3FF302FA"/>
    <w:rsid w:val="413661E7"/>
    <w:rsid w:val="4389789A"/>
    <w:rsid w:val="43EA166D"/>
    <w:rsid w:val="444E487B"/>
    <w:rsid w:val="446E6190"/>
    <w:rsid w:val="45292AD5"/>
    <w:rsid w:val="452B74C2"/>
    <w:rsid w:val="45517238"/>
    <w:rsid w:val="4564559E"/>
    <w:rsid w:val="459668DE"/>
    <w:rsid w:val="45DA5BCB"/>
    <w:rsid w:val="45F23538"/>
    <w:rsid w:val="468C08ED"/>
    <w:rsid w:val="470432A0"/>
    <w:rsid w:val="47481F35"/>
    <w:rsid w:val="477E0840"/>
    <w:rsid w:val="480970A7"/>
    <w:rsid w:val="48465249"/>
    <w:rsid w:val="491C2191"/>
    <w:rsid w:val="492C416A"/>
    <w:rsid w:val="49842208"/>
    <w:rsid w:val="49874987"/>
    <w:rsid w:val="49B85AD4"/>
    <w:rsid w:val="49FF500E"/>
    <w:rsid w:val="4A090ABD"/>
    <w:rsid w:val="4C013CCE"/>
    <w:rsid w:val="4C02538B"/>
    <w:rsid w:val="4C661386"/>
    <w:rsid w:val="4D0747E8"/>
    <w:rsid w:val="4D867176"/>
    <w:rsid w:val="4D8B674A"/>
    <w:rsid w:val="4DA61478"/>
    <w:rsid w:val="4E4F5A77"/>
    <w:rsid w:val="4E997334"/>
    <w:rsid w:val="4EBA1767"/>
    <w:rsid w:val="4F6607E7"/>
    <w:rsid w:val="50766997"/>
    <w:rsid w:val="52CA5724"/>
    <w:rsid w:val="536F1793"/>
    <w:rsid w:val="53E11F8E"/>
    <w:rsid w:val="54A07C25"/>
    <w:rsid w:val="55840B11"/>
    <w:rsid w:val="55B42C0A"/>
    <w:rsid w:val="5744437D"/>
    <w:rsid w:val="574E1C45"/>
    <w:rsid w:val="577A2591"/>
    <w:rsid w:val="593E1911"/>
    <w:rsid w:val="59BB58D0"/>
    <w:rsid w:val="5AAE1815"/>
    <w:rsid w:val="5ACB5424"/>
    <w:rsid w:val="5B410F90"/>
    <w:rsid w:val="5BBF79FD"/>
    <w:rsid w:val="5BCC171D"/>
    <w:rsid w:val="5BEE76B0"/>
    <w:rsid w:val="5C212B36"/>
    <w:rsid w:val="5C3F0E24"/>
    <w:rsid w:val="5CA03390"/>
    <w:rsid w:val="5CE93D4A"/>
    <w:rsid w:val="5DA63035"/>
    <w:rsid w:val="5DB822CF"/>
    <w:rsid w:val="5DD9588B"/>
    <w:rsid w:val="5DD95D6A"/>
    <w:rsid w:val="5DE618CE"/>
    <w:rsid w:val="5EA12B9A"/>
    <w:rsid w:val="5EB30D04"/>
    <w:rsid w:val="5F330FB6"/>
    <w:rsid w:val="6016437E"/>
    <w:rsid w:val="60510DC9"/>
    <w:rsid w:val="60C11730"/>
    <w:rsid w:val="60D73480"/>
    <w:rsid w:val="610B77DC"/>
    <w:rsid w:val="618F7DA1"/>
    <w:rsid w:val="61BB584A"/>
    <w:rsid w:val="6236427D"/>
    <w:rsid w:val="629042E0"/>
    <w:rsid w:val="630228D7"/>
    <w:rsid w:val="63D418E4"/>
    <w:rsid w:val="64B73EB6"/>
    <w:rsid w:val="650B7DC2"/>
    <w:rsid w:val="65922A06"/>
    <w:rsid w:val="65C31127"/>
    <w:rsid w:val="66000D97"/>
    <w:rsid w:val="66780237"/>
    <w:rsid w:val="67127677"/>
    <w:rsid w:val="67A91452"/>
    <w:rsid w:val="67C24104"/>
    <w:rsid w:val="680B3CFE"/>
    <w:rsid w:val="68A13467"/>
    <w:rsid w:val="69EC0103"/>
    <w:rsid w:val="6B2A3D7C"/>
    <w:rsid w:val="6CE25D1D"/>
    <w:rsid w:val="6D394630"/>
    <w:rsid w:val="6DE04217"/>
    <w:rsid w:val="6E4C7F64"/>
    <w:rsid w:val="6E753E30"/>
    <w:rsid w:val="6EFB5A49"/>
    <w:rsid w:val="708F5CE8"/>
    <w:rsid w:val="70AD38FC"/>
    <w:rsid w:val="70B87701"/>
    <w:rsid w:val="718965A6"/>
    <w:rsid w:val="718E17BF"/>
    <w:rsid w:val="722B4BCB"/>
    <w:rsid w:val="72776368"/>
    <w:rsid w:val="72DA0412"/>
    <w:rsid w:val="73AB1DCA"/>
    <w:rsid w:val="755D588B"/>
    <w:rsid w:val="75F739C3"/>
    <w:rsid w:val="76003E88"/>
    <w:rsid w:val="77393AAD"/>
    <w:rsid w:val="777D19F5"/>
    <w:rsid w:val="779570B4"/>
    <w:rsid w:val="77B86625"/>
    <w:rsid w:val="77CB0585"/>
    <w:rsid w:val="7850723E"/>
    <w:rsid w:val="78815242"/>
    <w:rsid w:val="79624505"/>
    <w:rsid w:val="79C00C74"/>
    <w:rsid w:val="7A144B62"/>
    <w:rsid w:val="7ABE389E"/>
    <w:rsid w:val="7B53416D"/>
    <w:rsid w:val="7C0D225F"/>
    <w:rsid w:val="7CDF6DCF"/>
    <w:rsid w:val="7D5151E7"/>
    <w:rsid w:val="7D845F64"/>
    <w:rsid w:val="7DE771D5"/>
    <w:rsid w:val="7E126EB0"/>
    <w:rsid w:val="7F1E3587"/>
    <w:rsid w:val="7F220467"/>
    <w:rsid w:val="7F797469"/>
    <w:rsid w:val="7FD744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rPr>
      <w:color w:val="0000FF"/>
    </w:rPr>
  </w:style>
  <w:style w:type="paragraph" w:styleId="3">
    <w:name w:val="Plain Text"/>
    <w:basedOn w:val="1"/>
    <w:qFormat/>
    <w:uiPriority w:val="99"/>
    <w:rPr>
      <w:rFonts w:ascii="宋体" w:hAnsi="Courier New"/>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nhideWhenUsed/>
    <w:qFormat/>
    <w:uiPriority w:val="99"/>
    <w:pPr>
      <w:ind w:firstLine="420" w:firstLineChars="200"/>
    </w:pPr>
  </w:style>
  <w:style w:type="character" w:customStyle="1" w:styleId="14">
    <w:name w:val="占位符文本1"/>
    <w:basedOn w:val="8"/>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434</Words>
  <Characters>2479</Characters>
  <Lines>20</Lines>
  <Paragraphs>5</Paragraphs>
  <TotalTime>9</TotalTime>
  <ScaleCrop>false</ScaleCrop>
  <LinksUpToDate>false</LinksUpToDate>
  <CharactersWithSpaces>2908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2020-04-10T13:33:18Z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