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进行远程</w:t>
            </w:r>
            <w:r>
              <w:rPr>
                <w:rFonts w:hint="eastAsia"/>
                <w:b/>
                <w:sz w:val="22"/>
                <w:szCs w:val="22"/>
                <w:u w:val="single"/>
              </w:rPr>
              <w:t>审核</w:t>
            </w:r>
            <w:r>
              <w:rPr>
                <w:rFonts w:hint="eastAsia"/>
                <w:b/>
                <w:sz w:val="22"/>
                <w:szCs w:val="22"/>
                <w:u w:val="single"/>
                <w:lang w:eastAsia="zh-CN"/>
              </w:rPr>
              <w:t>，</w:t>
            </w:r>
            <w:bookmarkStart w:id="0" w:name="_GoBack"/>
            <w:bookmarkEnd w:id="0"/>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1272540</wp:posOffset>
                  </wp:positionH>
                  <wp:positionV relativeFrom="paragraph">
                    <wp:posOffset>279400</wp:posOffset>
                  </wp:positionV>
                  <wp:extent cx="668655" cy="506095"/>
                  <wp:effectExtent l="0" t="0" r="1905" b="12065"/>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668655" cy="50609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2020年04月08日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2B6C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2020-04-07T13:50:33Z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