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029"/>
        <w:gridCol w:w="105"/>
        <w:gridCol w:w="709"/>
        <w:gridCol w:w="759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重庆思恩科信息技术有限公司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023-67779098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848" w:type="dxa"/>
            <w:gridSpan w:val="8"/>
            <w:vAlign w:val="center"/>
          </w:tcPr>
          <w:p>
            <w:bookmarkStart w:id="10" w:name="审核范围"/>
            <w:r>
              <w:t>计算机软件设计开发，计算机信息系统集成及服务</w:t>
            </w:r>
            <w:bookmarkEnd w:id="10"/>
          </w:p>
        </w:tc>
        <w:tc>
          <w:tcPr>
            <w:tcW w:w="814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79" w:type="dxa"/>
            <w:gridSpan w:val="2"/>
            <w:vAlign w:val="center"/>
          </w:tcPr>
          <w:p>
            <w:bookmarkStart w:id="11" w:name="专业代码"/>
            <w:r>
              <w:t>33.02.01;33.02.02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2020年04月08日 上午至2020年04月08日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5"/>
            <w:vAlign w:val="center"/>
          </w:tcPr>
          <w:p/>
        </w:tc>
        <w:tc>
          <w:tcPr>
            <w:tcW w:w="1468" w:type="dxa"/>
            <w:gridSpan w:val="2"/>
            <w:vAlign w:val="center"/>
          </w:tcPr>
          <w:p/>
        </w:tc>
        <w:tc>
          <w:tcPr>
            <w:tcW w:w="13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89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9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893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2020年4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6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 xml:space="preserve">:30 - 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</w:t>
            </w:r>
            <w:r>
              <w:rPr>
                <w:rFonts w:hint="eastAsia"/>
                <w:sz w:val="21"/>
                <w:szCs w:val="21"/>
                <w:lang w:eastAsia="zh-CN"/>
              </w:rPr>
              <w:t>研发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多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eastAsia="zh-CN"/>
              </w:rPr>
              <w:t>场所的远程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</w:t>
            </w:r>
            <w:r>
              <w:rPr>
                <w:rFonts w:hint="eastAsia"/>
                <w:sz w:val="21"/>
                <w:szCs w:val="21"/>
                <w:lang w:eastAsia="zh-CN"/>
              </w:rPr>
              <w:t>企业</w:t>
            </w:r>
            <w:r>
              <w:rPr>
                <w:rFonts w:hint="eastAsia"/>
                <w:sz w:val="21"/>
                <w:szCs w:val="21"/>
              </w:rPr>
              <w:t>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9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12DD4"/>
    <w:rsid w:val="13D17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2020-04-07T13:48:52Z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