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四川蜀旺新能源股份有限公司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0042-2017-2020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0042-2017-2020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numPr>
          <w:ilvl w:val="0"/>
          <w:numId w:val="1"/>
        </w:numPr>
        <w:spacing w:line="360" w:lineRule="auto"/>
        <w:rPr>
          <w:rFonts w:hint="eastAsia" w:cs="宋体" w:asciiTheme="minorEastAsia" w:hAnsiTheme="minorEastAsia"/>
          <w:b/>
          <w:bCs/>
          <w:kern w:val="0"/>
          <w:szCs w:val="21"/>
        </w:rPr>
      </w:pPr>
      <w:r>
        <w:rPr>
          <w:rFonts w:hint="eastAsia" w:cs="宋体" w:asciiTheme="minorEastAsia" w:hAnsiTheme="minorEastAsia"/>
          <w:b/>
          <w:bCs/>
          <w:kern w:val="0"/>
          <w:szCs w:val="21"/>
        </w:rPr>
        <w:t>基本情况</w:t>
      </w:r>
    </w:p>
    <w:tbl>
      <w:tblPr>
        <w:tblStyle w:val="6"/>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180"/>
        <w:gridCol w:w="1875"/>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8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四川蜀旺新能源股份有限公司</w:t>
            </w:r>
          </w:p>
        </w:tc>
        <w:tc>
          <w:tcPr>
            <w:tcW w:w="187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21"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rFonts w:hint="eastAsia" w:ascii="宋体" w:hAnsi="宋体"/>
                <w:szCs w:val="21"/>
                <w:lang w:val="en-US" w:eastAsia="zh-CN"/>
              </w:rPr>
              <w:t xml:space="preserve"> </w:t>
            </w:r>
            <w:r>
              <w:rPr>
                <w:rFonts w:cs="宋体" w:asciiTheme="minorEastAsia" w:hAnsiTheme="minorEastAsia"/>
                <w:kern w:val="0"/>
                <w:szCs w:val="21"/>
              </w:rPr>
              <w:t>苏占荣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80" w:type="dxa"/>
          </w:tcPr>
          <w:p>
            <w:pPr>
              <w:tabs>
                <w:tab w:val="left" w:pos="880"/>
              </w:tabs>
              <w:autoSpaceDE w:val="0"/>
              <w:autoSpaceDN w:val="0"/>
              <w:adjustRightInd w:val="0"/>
              <w:spacing w:before="35" w:line="360" w:lineRule="auto"/>
              <w:ind w:right="161"/>
              <w:rPr>
                <w:rFonts w:hint="eastAsia" w:cs="宋体" w:asciiTheme="minorEastAsia" w:hAnsiTheme="minorEastAsia"/>
                <w:kern w:val="0"/>
                <w:szCs w:val="21"/>
                <w:lang w:val="en-US" w:eastAsia="zh-CN"/>
              </w:rPr>
            </w:pPr>
            <w:r>
              <w:rPr>
                <w:rFonts w:cs="宋体" w:asciiTheme="minorEastAsia" w:hAnsiTheme="minorEastAsia"/>
                <w:kern w:val="0"/>
                <w:szCs w:val="21"/>
              </w:rPr>
              <w:t>ISC-</w:t>
            </w:r>
            <w:r>
              <w:rPr>
                <w:rFonts w:hint="eastAsia" w:cs="宋体" w:asciiTheme="minorEastAsia" w:hAnsiTheme="minorEastAsia"/>
                <w:kern w:val="0"/>
                <w:szCs w:val="21"/>
                <w:lang w:val="en-US" w:eastAsia="zh-CN"/>
              </w:rPr>
              <w:t xml:space="preserve"> 2017-0131</w:t>
            </w:r>
          </w:p>
        </w:tc>
        <w:tc>
          <w:tcPr>
            <w:tcW w:w="187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2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20</w:t>
            </w:r>
            <w:r>
              <w:rPr>
                <w:rFonts w:hint="eastAsia" w:cs="宋体" w:asciiTheme="minorEastAsia" w:hAnsiTheme="minorEastAsia"/>
                <w:kern w:val="0"/>
                <w:szCs w:val="21"/>
                <w:lang w:val="en-US" w:eastAsia="zh-CN"/>
              </w:rPr>
              <w:t>22</w:t>
            </w:r>
            <w:r>
              <w:rPr>
                <w:rFonts w:hint="eastAsia" w:cs="宋体" w:asciiTheme="minorEastAsia" w:hAnsiTheme="minorEastAsia"/>
                <w:kern w:val="0"/>
                <w:szCs w:val="21"/>
              </w:rPr>
              <w:t>年0</w:t>
            </w:r>
            <w:r>
              <w:rPr>
                <w:rFonts w:hint="eastAsia" w:cs="宋体" w:asciiTheme="minorEastAsia" w:hAnsiTheme="minorEastAsia"/>
                <w:kern w:val="0"/>
                <w:szCs w:val="21"/>
                <w:lang w:val="en-US" w:eastAsia="zh-CN"/>
              </w:rPr>
              <w:t>7</w:t>
            </w:r>
            <w:r>
              <w:rPr>
                <w:rFonts w:hint="eastAsia" w:cs="宋体" w:asciiTheme="minorEastAsia" w:hAnsiTheme="minorEastAsia"/>
                <w:kern w:val="0"/>
                <w:szCs w:val="21"/>
              </w:rPr>
              <w:t>月0</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80"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第</w:t>
            </w: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次监督审核</w:t>
            </w:r>
          </w:p>
        </w:tc>
        <w:tc>
          <w:tcPr>
            <w:tcW w:w="187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kern w:val="0"/>
                <w:szCs w:val="21"/>
              </w:rPr>
              <w:t>时间</w:t>
            </w:r>
          </w:p>
        </w:tc>
        <w:tc>
          <w:tcPr>
            <w:tcW w:w="2421" w:type="dxa"/>
          </w:tcPr>
          <w:p>
            <w:pPr>
              <w:tabs>
                <w:tab w:val="left" w:pos="880"/>
              </w:tabs>
              <w:autoSpaceDE w:val="0"/>
              <w:autoSpaceDN w:val="0"/>
              <w:adjustRightInd w:val="0"/>
              <w:spacing w:before="35" w:line="360" w:lineRule="auto"/>
              <w:ind w:right="161"/>
              <w:rPr>
                <w:rFonts w:hint="eastAsia" w:cs="宋体" w:asciiTheme="minorEastAsia" w:hAnsiTheme="minorEastAsia"/>
                <w:kern w:val="0"/>
                <w:szCs w:val="21"/>
                <w:lang w:val="en-US" w:eastAsia="zh-CN"/>
              </w:rPr>
            </w:pPr>
            <w:r>
              <w:rPr>
                <w:rFonts w:hint="eastAsia" w:cs="宋体" w:asciiTheme="minorEastAsia" w:hAnsiTheme="minorEastAsia"/>
                <w:kern w:val="0"/>
                <w:szCs w:val="21"/>
              </w:rPr>
              <w:t>20</w:t>
            </w:r>
            <w:r>
              <w:rPr>
                <w:rFonts w:hint="eastAsia" w:cs="宋体" w:asciiTheme="minorEastAsia" w:hAnsiTheme="minorEastAsia"/>
                <w:kern w:val="0"/>
                <w:szCs w:val="21"/>
                <w:lang w:val="en-US" w:eastAsia="zh-CN"/>
              </w:rPr>
              <w:t>29</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4</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44" w:type="dxa"/>
          </w:tcPr>
          <w:p>
            <w:pPr>
              <w:tabs>
                <w:tab w:val="left" w:pos="880"/>
              </w:tabs>
              <w:autoSpaceDE w:val="0"/>
              <w:autoSpaceDN w:val="0"/>
              <w:adjustRightInd w:val="0"/>
              <w:spacing w:before="35" w:line="36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36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80" w:type="dxa"/>
          </w:tcPr>
          <w:p>
            <w:pPr>
              <w:tabs>
                <w:tab w:val="left" w:pos="880"/>
              </w:tabs>
              <w:autoSpaceDE w:val="0"/>
              <w:autoSpaceDN w:val="0"/>
              <w:adjustRightInd w:val="0"/>
              <w:spacing w:before="35" w:line="360" w:lineRule="auto"/>
              <w:ind w:right="161" w:firstLine="210" w:firstLineChars="100"/>
              <w:rPr>
                <w:rFonts w:hint="eastAsia" w:ascii="宋体" w:hAnsi="宋体"/>
                <w:color w:val="FF0000"/>
                <w:szCs w:val="21"/>
              </w:rPr>
            </w:pPr>
            <w:r>
              <w:rPr>
                <w:rFonts w:hint="eastAsia"/>
                <w:color w:val="000000"/>
                <w:szCs w:val="21"/>
                <w:lang w:eastAsia="zh-CN"/>
              </w:rPr>
              <w:t>李俐</w:t>
            </w:r>
            <w:r>
              <w:rPr>
                <w:rFonts w:hint="eastAsia"/>
                <w:color w:val="000000"/>
                <w:szCs w:val="21"/>
                <w:lang w:val="en-US" w:eastAsia="zh-CN"/>
              </w:rPr>
              <w:t xml:space="preserve"> </w:t>
            </w:r>
            <w:r>
              <w:rPr>
                <w:rFonts w:ascii="宋体" w:hAnsi="宋体"/>
                <w:szCs w:val="21"/>
              </w:rPr>
              <w:t>ISC[S]00</w:t>
            </w:r>
            <w:r>
              <w:rPr>
                <w:rFonts w:hint="eastAsia" w:ascii="宋体" w:hAnsi="宋体"/>
                <w:szCs w:val="21"/>
                <w:lang w:val="en-US" w:eastAsia="zh-CN"/>
              </w:rPr>
              <w:t>08</w:t>
            </w:r>
          </w:p>
          <w:p>
            <w:pPr>
              <w:tabs>
                <w:tab w:val="left" w:pos="880"/>
              </w:tabs>
              <w:autoSpaceDE w:val="0"/>
              <w:autoSpaceDN w:val="0"/>
              <w:adjustRightInd w:val="0"/>
              <w:spacing w:before="35" w:line="360" w:lineRule="auto"/>
              <w:ind w:right="161" w:firstLine="210" w:firstLineChars="100"/>
              <w:rPr>
                <w:rFonts w:ascii="宋体" w:hAnsi="宋体"/>
                <w:color w:val="FF0000"/>
                <w:szCs w:val="21"/>
              </w:rPr>
            </w:pPr>
            <w:r>
              <w:rPr>
                <w:rFonts w:hint="eastAsia" w:ascii="宋体" w:hAnsi="宋体"/>
                <w:szCs w:val="21"/>
              </w:rPr>
              <w:t>胡琳</w:t>
            </w:r>
            <w:r>
              <w:rPr>
                <w:rFonts w:hint="eastAsia" w:ascii="宋体" w:hAnsi="宋体"/>
                <w:szCs w:val="21"/>
                <w:lang w:val="en-US" w:eastAsia="zh-CN"/>
              </w:rPr>
              <w:t>ISC[S]0056</w:t>
            </w:r>
          </w:p>
        </w:tc>
        <w:tc>
          <w:tcPr>
            <w:tcW w:w="187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21"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eastAsia="zh-CN"/>
              </w:rPr>
              <w:t>质检部</w:t>
            </w:r>
            <w:r>
              <w:rPr>
                <w:rFonts w:hint="eastAsia" w:cs="宋体" w:asciiTheme="minorEastAsia" w:hAnsiTheme="minorEastAsia"/>
                <w:kern w:val="0"/>
                <w:szCs w:val="21"/>
                <w:lang w:eastAsia="zh-CN"/>
              </w:rPr>
              <w:t>、</w:t>
            </w:r>
            <w:r>
              <w:rPr>
                <w:rFonts w:hint="eastAsia" w:cs="宋体" w:asciiTheme="minorEastAsia" w:hAnsiTheme="minorEastAsia" w:eastAsiaTheme="minorEastAsia"/>
                <w:kern w:val="0"/>
                <w:szCs w:val="21"/>
                <w:lang w:eastAsia="zh-CN"/>
              </w:rPr>
              <w:t>生产部</w:t>
            </w:r>
            <w:r>
              <w:rPr>
                <w:rFonts w:hint="eastAsia" w:cs="宋体" w:asciiTheme="minorEastAsia" w:hAnsiTheme="minorEastAsia"/>
                <w:kern w:val="0"/>
                <w:szCs w:val="21"/>
                <w:lang w:eastAsia="zh-CN"/>
              </w:rPr>
              <w:t>、</w:t>
            </w:r>
            <w:r>
              <w:rPr>
                <w:rFonts w:hint="eastAsia" w:cs="宋体" w:asciiTheme="minorEastAsia" w:hAnsiTheme="minorEastAsia" w:eastAsiaTheme="minorEastAsia"/>
                <w:kern w:val="0"/>
                <w:szCs w:val="21"/>
                <w:lang w:eastAsia="zh-CN"/>
              </w:rPr>
              <w:t>销售部</w:t>
            </w:r>
            <w:r>
              <w:rPr>
                <w:rFonts w:hint="eastAsia" w:cs="宋体" w:asciiTheme="minorEastAsia" w:hAnsiTheme="minorEastAsia"/>
                <w:kern w:val="0"/>
                <w:szCs w:val="21"/>
                <w:lang w:eastAsia="zh-CN"/>
              </w:rPr>
              <w:t>、</w:t>
            </w:r>
            <w:r>
              <w:rPr>
                <w:rFonts w:hint="eastAsia" w:cs="宋体" w:asciiTheme="minorEastAsia" w:hAnsiTheme="minorEastAsia" w:eastAsiaTheme="minorEastAsia"/>
                <w:kern w:val="0"/>
                <w:szCs w:val="21"/>
                <w:lang w:eastAsia="zh-CN"/>
              </w:rPr>
              <w:t>办公室</w:t>
            </w:r>
          </w:p>
        </w:tc>
      </w:tr>
    </w:tbl>
    <w:p>
      <w:pPr>
        <w:widowControl/>
        <w:numPr>
          <w:ilvl w:val="0"/>
          <w:numId w:val="0"/>
        </w:numPr>
        <w:spacing w:line="360" w:lineRule="auto"/>
        <w:jc w:val="both"/>
        <w:rPr>
          <w:rFonts w:hint="eastAsia" w:cs="宋体" w:asciiTheme="minorEastAsia" w:hAnsiTheme="minorEastAsia"/>
          <w:b/>
          <w:bCs/>
          <w:kern w:val="0"/>
          <w:szCs w:val="21"/>
        </w:rPr>
      </w:pPr>
    </w:p>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hint="eastAsia" w:cs="宋体" w:asciiTheme="minorEastAsia" w:hAnsiTheme="minorEastAsia"/>
          <w:bCs/>
          <w:kern w:val="0"/>
          <w:szCs w:val="21"/>
        </w:rPr>
      </w:pPr>
      <w:r>
        <w:rPr>
          <w:rFonts w:hint="eastAsia" w:cs="宋体" w:asciiTheme="minorEastAsia" w:hAnsiTheme="minorEastAsia"/>
          <w:bCs/>
          <w:kern w:val="0"/>
          <w:szCs w:val="21"/>
        </w:rPr>
        <w:t>1.一年内违反法律法规或重大事故的情况：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一年内，公司日常运行中生产、经营、安全、销售及行政管理方面，未出现违反法律、法规问题或重大事故发生,满足要求</w:t>
      </w:r>
    </w:p>
    <w:p>
      <w:pPr>
        <w:widowControl/>
        <w:numPr>
          <w:ilvl w:val="0"/>
          <w:numId w:val="2"/>
        </w:numPr>
        <w:spacing w:line="360"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为有效评价公司测量管理体系认证后运行情况，20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日，</w:t>
      </w:r>
      <w:r>
        <w:rPr>
          <w:rFonts w:hint="eastAsia" w:cs="宋体" w:asciiTheme="minorEastAsia" w:hAnsiTheme="minorEastAsia"/>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w:t>
      </w:r>
      <w:r>
        <w:rPr>
          <w:rFonts w:hint="eastAsia" w:ascii="宋体" w:hAnsi="宋体"/>
          <w:szCs w:val="21"/>
          <w:lang w:val="en-US" w:eastAsia="zh-CN"/>
        </w:rPr>
        <w:t>B</w:t>
      </w:r>
      <w:r>
        <w:rPr>
          <w:rFonts w:hint="eastAsia" w:ascii="宋体" w:hAnsi="宋体"/>
          <w:szCs w:val="21"/>
        </w:rPr>
        <w:t>/0）</w:t>
      </w:r>
      <w:r>
        <w:rPr>
          <w:rFonts w:ascii="宋体" w:hAnsi="宋体"/>
          <w:szCs w:val="21"/>
        </w:rPr>
        <w:t>确认，</w:t>
      </w:r>
      <w:r>
        <w:rPr>
          <w:rFonts w:hint="eastAsia" w:ascii="宋体" w:hAnsi="宋体"/>
          <w:szCs w:val="21"/>
          <w:lang w:eastAsia="zh-CN"/>
        </w:rPr>
        <w:t>在</w:t>
      </w:r>
      <w:r>
        <w:rPr>
          <w:rFonts w:hint="eastAsia" w:cs="宋体" w:asciiTheme="minorEastAsia" w:hAnsiTheme="minorEastAsia"/>
          <w:bCs/>
          <w:kern w:val="0"/>
          <w:szCs w:val="21"/>
        </w:rPr>
        <w:t>审核中，审核组先、后抽样检查了涉及公司测量体系内的管理、生产、经营、质量和环境等方面的</w:t>
      </w:r>
      <w:r>
        <w:rPr>
          <w:rFonts w:hint="eastAsia" w:cs="宋体" w:asciiTheme="minorEastAsia" w:hAnsiTheme="minorEastAsia"/>
          <w:bCs/>
          <w:kern w:val="0"/>
          <w:szCs w:val="21"/>
          <w:lang w:val="en-US" w:eastAsia="zh-CN"/>
        </w:rPr>
        <w:t>4</w:t>
      </w:r>
      <w:r>
        <w:rPr>
          <w:rFonts w:hint="eastAsia" w:cs="宋体" w:asciiTheme="minorEastAsia" w:hAnsiTheme="minorEastAsia"/>
          <w:bCs/>
          <w:kern w:val="0"/>
          <w:szCs w:val="21"/>
        </w:rPr>
        <w:t>个职能部门</w:t>
      </w:r>
      <w:r>
        <w:rPr>
          <w:rFonts w:hint="eastAsia" w:cs="宋体" w:asciiTheme="minorEastAsia" w:hAnsiTheme="minorEastAsia"/>
          <w:bCs/>
          <w:kern w:val="0"/>
          <w:szCs w:val="21"/>
          <w:lang w:eastAsia="zh-CN"/>
        </w:rPr>
        <w:t>及</w:t>
      </w:r>
      <w:r>
        <w:rPr>
          <w:rFonts w:hint="eastAsia" w:cs="宋体" w:asciiTheme="minorEastAsia" w:hAnsiTheme="minorEastAsia"/>
          <w:bCs/>
          <w:kern w:val="0"/>
          <w:szCs w:val="21"/>
        </w:rPr>
        <w:t>车间，该企业不是重点耗能单位，企业的能源计量器具的配备率及准确度等级均满足G</w:t>
      </w:r>
      <w:r>
        <w:rPr>
          <w:rFonts w:cs="宋体" w:asciiTheme="minorEastAsia" w:hAnsiTheme="minorEastAsia"/>
          <w:bCs/>
          <w:kern w:val="0"/>
          <w:szCs w:val="21"/>
        </w:rPr>
        <w:t>B17167-2006</w:t>
      </w:r>
      <w:r>
        <w:rPr>
          <w:rFonts w:hint="eastAsia" w:cs="宋体" w:asciiTheme="minorEastAsia" w:hAnsiTheme="minorEastAsia"/>
          <w:bCs/>
          <w:kern w:val="0"/>
          <w:szCs w:val="21"/>
        </w:rPr>
        <w:t>标准要求。重点抽查</w:t>
      </w:r>
      <w:r>
        <w:rPr>
          <w:rFonts w:hint="eastAsia" w:ascii="宋体" w:hAnsi="宋体"/>
          <w:szCs w:val="21"/>
        </w:rPr>
        <w:t>了公司计量特征突出的重要环节、</w:t>
      </w:r>
      <w:r>
        <w:rPr>
          <w:rFonts w:hint="eastAsia" w:ascii="宋体" w:hAnsi="宋体" w:eastAsia="宋体" w:cs="Times New Roman"/>
          <w:szCs w:val="21"/>
        </w:rPr>
        <w:t>原材料（外购件、外协件进厂检测）、组装生产线中产品的各种综合性能检测等测量过程</w:t>
      </w:r>
      <w:r>
        <w:rPr>
          <w:rFonts w:hint="eastAsia" w:ascii="宋体" w:hAnsi="宋体"/>
          <w:szCs w:val="21"/>
        </w:rPr>
        <w:t>以及量值溯源系统</w:t>
      </w:r>
      <w:r>
        <w:rPr>
          <w:rFonts w:hint="eastAsia" w:cs="宋体" w:asciiTheme="minorEastAsia" w:hAnsiTheme="minorEastAsia"/>
          <w:bCs/>
          <w:kern w:val="0"/>
          <w:szCs w:val="21"/>
        </w:rPr>
        <w:t>，同时，跟踪验证了该公司在获得测量管理体系认证后，对体系的运行监视、分析完善和持续改进等工作情况。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 xml:space="preserve">公司测量管理体系的符合性、有效性及持续改进，符合GB/T 19022-2003标准要求，公司测量管理体系正常有序运行，较好地满足了公司生产、销售和持续发展的需要。 </w:t>
      </w:r>
    </w:p>
    <w:p>
      <w:pPr>
        <w:widowControl/>
        <w:numPr>
          <w:ilvl w:val="0"/>
          <w:numId w:val="2"/>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在审核过程中了解到，该公司</w:t>
      </w:r>
      <w:r>
        <w:rPr>
          <w:rFonts w:hint="eastAsia" w:cs="宋体" w:asciiTheme="minorEastAsia" w:hAnsiTheme="minorEastAsia"/>
          <w:bCs/>
          <w:color w:val="000000" w:themeColor="text1"/>
          <w:kern w:val="0"/>
          <w:szCs w:val="21"/>
        </w:rPr>
        <w:t>于20</w:t>
      </w:r>
      <w:r>
        <w:rPr>
          <w:rFonts w:hint="eastAsia" w:cs="宋体" w:asciiTheme="minorEastAsia" w:hAnsiTheme="minorEastAsia"/>
          <w:bCs/>
          <w:color w:val="000000" w:themeColor="text1"/>
          <w:kern w:val="0"/>
          <w:szCs w:val="21"/>
          <w:lang w:val="en-US" w:eastAsia="zh-CN"/>
        </w:rPr>
        <w:t>20</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1</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8</w:t>
      </w:r>
      <w:r>
        <w:rPr>
          <w:rFonts w:hint="eastAsia" w:cs="宋体" w:asciiTheme="minorEastAsia" w:hAnsiTheme="minorEastAsia"/>
          <w:bCs/>
          <w:color w:val="000000" w:themeColor="text1"/>
          <w:kern w:val="0"/>
          <w:szCs w:val="21"/>
        </w:rPr>
        <w:t>日 组织了内部审核</w:t>
      </w:r>
      <w:r>
        <w:rPr>
          <w:rFonts w:hint="eastAsia" w:cs="宋体" w:asciiTheme="minorEastAsia" w:hAnsiTheme="minorEastAsia"/>
          <w:bCs/>
          <w:kern w:val="0"/>
          <w:szCs w:val="21"/>
        </w:rPr>
        <w:t>，对内审中提出的</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项不符合项（一般不符合）制定了纠正措施，并进行了整改。</w:t>
      </w: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20</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3</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2</w:t>
      </w:r>
      <w:r>
        <w:rPr>
          <w:rFonts w:hint="eastAsia" w:cs="宋体" w:asciiTheme="minorEastAsia" w:hAnsiTheme="minorEastAsia"/>
          <w:bCs/>
          <w:color w:val="000000" w:themeColor="text1"/>
          <w:kern w:val="0"/>
          <w:szCs w:val="21"/>
        </w:rPr>
        <w:t>日进</w:t>
      </w:r>
      <w:r>
        <w:rPr>
          <w:rFonts w:hint="eastAsia" w:cs="宋体" w:asciiTheme="minorEastAsia" w:hAnsiTheme="minorEastAsia"/>
          <w:bCs/>
          <w:kern w:val="0"/>
          <w:szCs w:val="21"/>
        </w:rPr>
        <w:t>行了管理评审，对测量管理体系进行了有效评价，确保了测量管理体系的运行质量。</w:t>
      </w:r>
    </w:p>
    <w:p>
      <w:pPr>
        <w:widowControl/>
        <w:spacing w:line="360" w:lineRule="auto"/>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p>
    <w:p>
      <w:pPr>
        <w:widowControl/>
        <w:spacing w:line="360" w:lineRule="auto"/>
        <w:ind w:firstLine="420" w:firstLineChars="200"/>
        <w:rPr>
          <w:rFonts w:asciiTheme="minorEastAsia" w:hAnsiTheme="minorEastAsia"/>
          <w:bCs/>
          <w:szCs w:val="21"/>
        </w:rPr>
      </w:pPr>
      <w:r>
        <w:rPr>
          <w:rFonts w:hint="eastAsia" w:cs="宋体" w:asciiTheme="minorEastAsia" w:hAnsiTheme="minorEastAsia"/>
          <w:kern w:val="0"/>
          <w:szCs w:val="21"/>
        </w:rPr>
        <w:t>4.1</w:t>
      </w:r>
      <w:r>
        <w:rPr>
          <w:rFonts w:cs="宋体" w:asciiTheme="minorEastAsia" w:hAnsiTheme="minorEastAsia"/>
          <w:kern w:val="0"/>
          <w:szCs w:val="21"/>
        </w:rPr>
        <w:t xml:space="preserve"> </w:t>
      </w:r>
      <w:r>
        <w:rPr>
          <w:rFonts w:hint="eastAsia" w:cs="宋体" w:asciiTheme="minorEastAsia" w:hAnsiTheme="minorEastAsia"/>
          <w:kern w:val="0"/>
          <w:szCs w:val="21"/>
        </w:rPr>
        <w:t>四川蜀旺新能源股份有限公司领导层重视测量管理体系各项工作，职能部门职能作用发挥较好，建立的测量管理体系，运行正常，并持续符合相关法律、法规的要求；</w:t>
      </w:r>
    </w:p>
    <w:p>
      <w:pPr>
        <w:widowControl/>
        <w:spacing w:line="360"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 xml:space="preserve">4.2 </w:t>
      </w:r>
      <w:r>
        <w:rPr>
          <w:rFonts w:cs="宋体" w:asciiTheme="minorEastAsia" w:hAnsiTheme="minorEastAsia"/>
          <w:kern w:val="0"/>
          <w:szCs w:val="21"/>
        </w:rPr>
        <w:t xml:space="preserve"> </w:t>
      </w:r>
      <w:r>
        <w:rPr>
          <w:rFonts w:hint="eastAsia" w:cs="宋体" w:asciiTheme="minorEastAsia" w:hAnsiTheme="minorEastAsia"/>
          <w:kern w:val="0"/>
          <w:szCs w:val="21"/>
        </w:rPr>
        <w:t>20</w:t>
      </w:r>
      <w:r>
        <w:rPr>
          <w:rFonts w:hint="eastAsia" w:cs="宋体" w:asciiTheme="minorEastAsia" w:hAnsiTheme="minorEastAsia"/>
          <w:kern w:val="0"/>
          <w:szCs w:val="21"/>
          <w:lang w:val="en-US" w:eastAsia="zh-CN"/>
        </w:rPr>
        <w:t>19</w:t>
      </w:r>
      <w:r>
        <w:rPr>
          <w:rFonts w:hint="eastAsia" w:cs="宋体" w:asciiTheme="minorEastAsia" w:hAnsiTheme="minorEastAsia"/>
          <w:kern w:val="0"/>
          <w:szCs w:val="21"/>
        </w:rPr>
        <w:t>年质量目标考核细则已确认，并按规定的内容和时间进行考核，年度质量目标完成情况较好；</w:t>
      </w:r>
    </w:p>
    <w:p>
      <w:pPr>
        <w:bidi w:val="0"/>
        <w:spacing w:line="360" w:lineRule="auto"/>
        <w:ind w:right="-512" w:rightChars="-244" w:firstLine="420" w:firstLineChars="200"/>
        <w:rPr>
          <w:rFonts w:ascii="宋体" w:hAnsi="宋体"/>
          <w:b/>
          <w:bCs/>
          <w:szCs w:val="21"/>
        </w:rPr>
      </w:pPr>
      <w:r>
        <w:rPr>
          <w:rFonts w:hint="eastAsia" w:cs="宋体" w:asciiTheme="minorEastAsia" w:hAnsiTheme="minorEastAsia"/>
          <w:kern w:val="0"/>
          <w:szCs w:val="21"/>
        </w:rPr>
        <w:t>4.3</w:t>
      </w:r>
      <w:r>
        <w:rPr>
          <w:rFonts w:cs="宋体" w:asciiTheme="minorEastAsia" w:hAnsiTheme="minorEastAsia"/>
          <w:kern w:val="0"/>
          <w:szCs w:val="21"/>
        </w:rPr>
        <w:t xml:space="preserve"> </w:t>
      </w:r>
      <w:r>
        <w:rPr>
          <w:rFonts w:hint="eastAsia" w:cs="宋体" w:asciiTheme="minorEastAsia" w:hAnsiTheme="minorEastAsia"/>
          <w:kern w:val="0"/>
          <w:szCs w:val="21"/>
        </w:rPr>
        <w:t>企业对已识别的</w:t>
      </w: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个关键测量过程</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重点</w:t>
      </w:r>
      <w:r>
        <w:rPr>
          <w:rFonts w:hint="eastAsia" w:cs="宋体" w:asciiTheme="minorEastAsia" w:hAnsiTheme="minorEastAsia"/>
          <w:kern w:val="0"/>
          <w:szCs w:val="21"/>
        </w:rPr>
        <w:t>抽查了</w:t>
      </w:r>
      <w:r>
        <w:rPr>
          <w:rFonts w:hint="eastAsia" w:cs="宋体" w:asciiTheme="minorEastAsia" w:hAnsiTheme="minorEastAsia"/>
          <w:kern w:val="0"/>
          <w:szCs w:val="21"/>
          <w:lang w:val="en-US" w:eastAsia="zh-CN"/>
        </w:rPr>
        <w:t>新增测量过程：</w:t>
      </w:r>
      <w:r>
        <w:rPr>
          <w:rFonts w:hint="eastAsia" w:ascii="宋体" w:hAnsi="宋体"/>
          <w:szCs w:val="21"/>
          <w:lang w:val="en-US" w:eastAsia="zh-CN"/>
        </w:rPr>
        <w:t>太阳能电池组件</w:t>
      </w:r>
      <w:r>
        <w:rPr>
          <w:rFonts w:hint="eastAsia" w:ascii="宋体" w:hAnsi="宋体"/>
          <w:szCs w:val="21"/>
        </w:rPr>
        <w:t>绝缘电阻</w:t>
      </w:r>
      <w:r>
        <w:rPr>
          <w:rFonts w:hint="eastAsia" w:ascii="宋体" w:hAnsi="宋体"/>
          <w:szCs w:val="21"/>
          <w:lang w:val="en-US" w:eastAsia="zh-CN"/>
        </w:rPr>
        <w:t>检测过程</w:t>
      </w:r>
      <w:r>
        <w:rPr>
          <w:rFonts w:hint="eastAsia" w:cs="宋体" w:asciiTheme="minorEastAsia" w:hAnsiTheme="minorEastAsia"/>
          <w:kern w:val="0"/>
          <w:szCs w:val="21"/>
          <w:lang w:eastAsia="zh-CN"/>
        </w:rPr>
        <w:t>，</w:t>
      </w:r>
      <w:r>
        <w:rPr>
          <w:rFonts w:hint="eastAsia" w:ascii="宋体" w:hAnsi="宋体" w:cs="宋体"/>
          <w:kern w:val="0"/>
          <w:szCs w:val="21"/>
        </w:rPr>
        <w:t>测量要求识别、计</w:t>
      </w:r>
      <w:r>
        <w:rPr>
          <w:rFonts w:hint="eastAsia" w:ascii="宋体" w:hAnsi="宋体"/>
          <w:szCs w:val="21"/>
        </w:rPr>
        <w:t>量要求导出和计量验证记录满足顾客要求</w:t>
      </w:r>
      <w:r>
        <w:rPr>
          <w:rFonts w:hint="eastAsia" w:ascii="宋体" w:hAnsi="宋体"/>
          <w:bCs/>
          <w:szCs w:val="21"/>
        </w:rPr>
        <w:t>，</w:t>
      </w:r>
      <w:r>
        <w:rPr>
          <w:rFonts w:hint="eastAsia" w:ascii="宋体" w:hAnsi="宋体"/>
          <w:bCs/>
          <w:szCs w:val="21"/>
          <w:lang w:val="en-US" w:eastAsia="zh-CN"/>
        </w:rPr>
        <w:t>详</w:t>
      </w:r>
      <w:r>
        <w:rPr>
          <w:rFonts w:hint="eastAsia" w:ascii="宋体" w:hAnsi="宋体"/>
          <w:bCs/>
          <w:szCs w:val="21"/>
        </w:rPr>
        <w:t>见附</w:t>
      </w:r>
      <w:r>
        <w:rPr>
          <w:rFonts w:hint="eastAsia" w:ascii="宋体" w:hAnsi="宋体"/>
          <w:szCs w:val="21"/>
        </w:rPr>
        <w:t>件《计量要求导出和计量验证记录表》。</w:t>
      </w:r>
    </w:p>
    <w:p>
      <w:pPr>
        <w:bidi w:val="0"/>
        <w:spacing w:line="360" w:lineRule="auto"/>
        <w:ind w:firstLine="420" w:firstLineChars="200"/>
        <w:rPr>
          <w:rFonts w:hint="eastAsia" w:ascii="宋体" w:hAnsi="宋体"/>
          <w:szCs w:val="21"/>
        </w:rPr>
      </w:pPr>
      <w:r>
        <w:rPr>
          <w:rFonts w:hint="eastAsia" w:ascii="宋体" w:hAnsi="宋体"/>
          <w:szCs w:val="21"/>
          <w:lang w:val="en-US" w:eastAsia="zh-CN"/>
        </w:rPr>
        <w:t xml:space="preserve">4.4 </w:t>
      </w:r>
      <w:r>
        <w:rPr>
          <w:rFonts w:hint="eastAsia" w:ascii="宋体" w:hAnsi="宋体"/>
          <w:szCs w:val="21"/>
        </w:rPr>
        <w:t>重点抽查了</w:t>
      </w:r>
      <w:r>
        <w:rPr>
          <w:rFonts w:hint="eastAsia" w:ascii="宋体" w:hAnsi="宋体"/>
          <w:szCs w:val="21"/>
          <w:lang w:val="en-US" w:eastAsia="zh-CN"/>
        </w:rPr>
        <w:t>太阳能电池组件</w:t>
      </w:r>
      <w:r>
        <w:rPr>
          <w:rFonts w:hint="eastAsia" w:ascii="宋体" w:hAnsi="宋体"/>
          <w:szCs w:val="21"/>
        </w:rPr>
        <w:t>绝缘电阻</w:t>
      </w:r>
      <w:r>
        <w:rPr>
          <w:rFonts w:hint="eastAsia" w:ascii="宋体" w:hAnsi="宋体"/>
          <w:szCs w:val="21"/>
          <w:lang w:val="en-US" w:eastAsia="zh-CN"/>
        </w:rPr>
        <w:t>检测过程</w:t>
      </w:r>
      <w:r>
        <w:rPr>
          <w:rFonts w:hint="eastAsia" w:ascii="宋体" w:hAnsi="宋体"/>
          <w:szCs w:val="21"/>
        </w:rPr>
        <w:t>不确定度评定方法正确。详见附件《不确定度评定报告》等不确定度评定报告。</w:t>
      </w:r>
    </w:p>
    <w:p>
      <w:pPr>
        <w:bidi w:val="0"/>
        <w:spacing w:line="360" w:lineRule="auto"/>
        <w:ind w:right="-512" w:rightChars="-244" w:firstLine="420" w:firstLineChars="200"/>
        <w:rPr>
          <w:rFonts w:hint="eastAsia" w:cs="宋体" w:asciiTheme="minorEastAsia" w:hAnsiTheme="minorEastAsia"/>
          <w:kern w:val="0"/>
          <w:szCs w:val="21"/>
        </w:rPr>
      </w:pPr>
      <w:r>
        <w:rPr>
          <w:rFonts w:hint="eastAsia" w:ascii="宋体" w:hAnsi="宋体"/>
          <w:b w:val="0"/>
          <w:bCs w:val="0"/>
          <w:szCs w:val="21"/>
          <w:lang w:val="en-US" w:eastAsia="zh-CN"/>
        </w:rPr>
        <w:t>4.</w:t>
      </w:r>
      <w:r>
        <w:rPr>
          <w:rFonts w:hint="eastAsia" w:ascii="宋体" w:hAnsi="宋体"/>
          <w:b w:val="0"/>
          <w:bCs w:val="0"/>
          <w:szCs w:val="21"/>
        </w:rPr>
        <w:t>5.现场重点抽查了</w:t>
      </w:r>
      <w:r>
        <w:rPr>
          <w:rFonts w:hint="eastAsia" w:ascii="宋体" w:hAnsi="宋体"/>
          <w:b w:val="0"/>
          <w:bCs w:val="0"/>
          <w:szCs w:val="21"/>
          <w:lang w:val="en-US" w:eastAsia="zh-CN"/>
        </w:rPr>
        <w:t>全太阳能电池组件</w:t>
      </w:r>
      <w:r>
        <w:rPr>
          <w:rFonts w:hint="eastAsia" w:ascii="宋体" w:hAnsi="宋体"/>
          <w:b w:val="0"/>
          <w:bCs w:val="0"/>
          <w:szCs w:val="21"/>
        </w:rPr>
        <w:t>绝缘电阻</w:t>
      </w:r>
      <w:r>
        <w:rPr>
          <w:rFonts w:hint="eastAsia" w:ascii="宋体" w:hAnsi="宋体"/>
          <w:b w:val="0"/>
          <w:bCs w:val="0"/>
          <w:szCs w:val="21"/>
          <w:lang w:val="en-US" w:eastAsia="zh-CN"/>
        </w:rPr>
        <w:t>检测</w:t>
      </w:r>
      <w:r>
        <w:rPr>
          <w:rFonts w:hint="eastAsia" w:ascii="宋体" w:hAnsi="宋体"/>
          <w:b w:val="0"/>
          <w:bCs w:val="0"/>
          <w:szCs w:val="21"/>
        </w:rPr>
        <w:t>过程等测量过程有效性确认，测量过程监视</w:t>
      </w:r>
      <w:r>
        <w:rPr>
          <w:rFonts w:hint="eastAsia" w:ascii="宋体" w:hAnsi="宋体"/>
          <w:b w:val="0"/>
          <w:bCs w:val="0"/>
          <w:szCs w:val="21"/>
          <w:lang w:val="en-US" w:eastAsia="zh-CN"/>
        </w:rPr>
        <w:t>比对</w:t>
      </w:r>
      <w:r>
        <w:rPr>
          <w:rFonts w:hint="eastAsia" w:ascii="宋体" w:hAnsi="宋体"/>
          <w:b w:val="0"/>
          <w:bCs w:val="0"/>
          <w:szCs w:val="21"/>
        </w:rPr>
        <w:t>记录</w:t>
      </w:r>
      <w:r>
        <w:rPr>
          <w:rFonts w:hint="eastAsia" w:ascii="宋体" w:hAnsi="宋体"/>
          <w:b w:val="0"/>
          <w:bCs w:val="0"/>
          <w:szCs w:val="21"/>
          <w:lang w:val="en-US" w:eastAsia="zh-CN"/>
        </w:rPr>
        <w:t xml:space="preserve"> </w:t>
      </w:r>
      <w:r>
        <w:rPr>
          <w:rFonts w:hint="eastAsia" w:ascii="宋体" w:hAnsi="宋体"/>
          <w:b w:val="0"/>
          <w:bCs w:val="0"/>
          <w:szCs w:val="21"/>
        </w:rPr>
        <w:t>，基本满足标准要求。</w:t>
      </w:r>
      <w:r>
        <w:rPr>
          <w:rFonts w:hint="eastAsia" w:ascii="宋体" w:hAnsi="宋体"/>
          <w:b w:val="0"/>
          <w:bCs w:val="0"/>
          <w:szCs w:val="21"/>
          <w:lang w:eastAsia="zh-CN"/>
        </w:rPr>
        <w:t>详</w:t>
      </w:r>
      <w:r>
        <w:rPr>
          <w:rFonts w:hint="eastAsia" w:ascii="宋体" w:hAnsi="宋体"/>
          <w:b w:val="0"/>
          <w:bCs w:val="0"/>
          <w:szCs w:val="21"/>
        </w:rPr>
        <w:t>见附件《测量过程比对测试记录》。</w:t>
      </w:r>
    </w:p>
    <w:p>
      <w:pPr>
        <w:widowControl/>
        <w:spacing w:line="360" w:lineRule="auto"/>
        <w:rPr>
          <w:rFonts w:cs="宋体" w:asciiTheme="minorEastAsia" w:hAnsiTheme="minorEastAsia"/>
          <w:bCs/>
          <w:kern w:val="0"/>
          <w:szCs w:val="21"/>
        </w:rPr>
      </w:pPr>
      <w:r>
        <w:rPr>
          <w:rFonts w:hint="eastAsia" w:asciiTheme="minorEastAsia" w:hAnsiTheme="minorEastAsia"/>
          <w:bCs/>
          <w:szCs w:val="21"/>
        </w:rPr>
        <w:t>5.对认证审核时提出的不符合项的纠正措施情况有表述</w:t>
      </w:r>
      <w:r>
        <w:rPr>
          <w:rFonts w:cs="宋体" w:asciiTheme="minorEastAsia" w:hAnsiTheme="minorEastAsia"/>
          <w:bCs/>
          <w:kern w:val="0"/>
          <w:szCs w:val="21"/>
        </w:rPr>
        <w:t>：</w:t>
      </w:r>
    </w:p>
    <w:p>
      <w:pPr>
        <w:pStyle w:val="11"/>
        <w:widowControl/>
        <w:spacing w:line="360" w:lineRule="auto"/>
        <w:ind w:left="420" w:firstLine="0" w:firstLineChars="0"/>
        <w:jc w:val="left"/>
        <w:rPr>
          <w:rFonts w:hint="eastAsia" w:cs="宋体"/>
          <w:kern w:val="0"/>
          <w:lang w:eastAsia="zh-CN"/>
        </w:rPr>
      </w:pPr>
      <w:r>
        <w:rPr>
          <w:rFonts w:hint="eastAsia" w:cs="宋体"/>
          <w:kern w:val="0"/>
        </w:rPr>
        <w:t>公司已针对上一年度开具的不符合项已采取有效措施，已关闭。</w:t>
      </w:r>
    </w:p>
    <w:p>
      <w:pPr>
        <w:pStyle w:val="11"/>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widowControl/>
        <w:spacing w:line="360" w:lineRule="auto"/>
        <w:ind w:firstLine="420" w:firstLineChars="200"/>
        <w:rPr>
          <w:rFonts w:cs="宋体" w:asciiTheme="minorEastAsia" w:hAnsiTheme="minorEastAsia"/>
          <w:kern w:val="0"/>
          <w:szCs w:val="21"/>
        </w:rPr>
      </w:pPr>
      <w:r>
        <w:rPr>
          <w:rFonts w:hint="eastAsia" w:asciiTheme="minorEastAsia" w:hAnsiTheme="minorEastAsia"/>
          <w:bCs/>
          <w:szCs w:val="21"/>
        </w:rPr>
        <w:t>该公司不属于重点能耗企业，已经按要求统计公司水电气总能耗</w:t>
      </w:r>
      <w:r>
        <w:rPr>
          <w:rFonts w:hint="eastAsia" w:asciiTheme="minorEastAsia" w:hAnsiTheme="minorEastAsia"/>
          <w:bCs/>
          <w:szCs w:val="21"/>
          <w:lang w:eastAsia="zh-CN"/>
        </w:rPr>
        <w:t>，已建立能源器具台账，纳入测量体系管理。</w:t>
      </w:r>
    </w:p>
    <w:p>
      <w:pPr>
        <w:widowControl/>
        <w:spacing w:line="360" w:lineRule="auto"/>
        <w:rPr>
          <w:rFonts w:asciiTheme="minorEastAsia" w:hAnsiTheme="minorEastAsia"/>
          <w:bCs/>
          <w:szCs w:val="21"/>
        </w:rPr>
      </w:pPr>
      <w:r>
        <w:rPr>
          <w:rFonts w:hint="eastAsia" w:cs="宋体" w:asciiTheme="minorEastAsia" w:hAnsiTheme="minorEastAsia"/>
          <w:kern w:val="0"/>
          <w:szCs w:val="21"/>
          <w:lang w:val="en-US" w:eastAsia="zh-CN"/>
        </w:rPr>
        <w:t>7</w:t>
      </w: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rPr>
          <w:rFonts w:asciiTheme="minorEastAsia" w:hAnsiTheme="minorEastAsia"/>
          <w:bCs/>
          <w:szCs w:val="21"/>
        </w:rPr>
      </w:pPr>
      <w:r>
        <w:rPr>
          <w:rFonts w:hint="eastAsia" w:asciiTheme="minorEastAsia" w:hAnsiTheme="minorEastAsia"/>
          <w:bCs/>
          <w:szCs w:val="21"/>
        </w:rPr>
        <w:t>公司目前尚未接到客户在产品质量、物料交接、能源、安全、现场管理等方面的投诉和纠纷。</w:t>
      </w:r>
    </w:p>
    <w:p>
      <w:pPr>
        <w:widowControl/>
        <w:spacing w:line="360" w:lineRule="auto"/>
        <w:rPr>
          <w:rFonts w:hint="eastAsia" w:asciiTheme="minorEastAsia" w:hAnsiTheme="minorEastAsia"/>
          <w:bCs/>
          <w:szCs w:val="21"/>
        </w:rPr>
      </w:pPr>
      <w:r>
        <w:rPr>
          <w:rFonts w:hint="eastAsia" w:asciiTheme="minorEastAsia" w:hAnsiTheme="minorEastAsia"/>
          <w:bCs/>
          <w:szCs w:val="21"/>
        </w:rPr>
        <w:t>8.对企业组织任何变更的审核</w:t>
      </w:r>
    </w:p>
    <w:p>
      <w:pPr>
        <w:widowControl/>
        <w:spacing w:line="360" w:lineRule="auto"/>
        <w:ind w:firstLine="420" w:firstLineChars="200"/>
        <w:rPr>
          <w:rFonts w:hint="eastAsia" w:asciiTheme="minorEastAsia" w:hAnsiTheme="minorEastAsia"/>
          <w:bCs/>
          <w:szCs w:val="21"/>
          <w:lang w:val="en-US" w:eastAsia="zh-CN"/>
        </w:rPr>
      </w:pPr>
      <w:r>
        <w:rPr>
          <w:rFonts w:hint="eastAsia" w:asciiTheme="minorEastAsia" w:hAnsiTheme="minorEastAsia"/>
          <w:bCs/>
          <w:szCs w:val="21"/>
          <w:lang w:val="en-US" w:eastAsia="zh-CN"/>
        </w:rPr>
        <w:t xml:space="preserve">认证范围：原证书范围：太阳能热水器、太阳能路灯及太阳能路灯组件【路灯杆、LED路灯灯具（36V及以下）】的生产、销售、服务。 </w:t>
      </w:r>
    </w:p>
    <w:p>
      <w:pPr>
        <w:widowControl/>
        <w:spacing w:line="360" w:lineRule="auto"/>
        <w:ind w:firstLine="420" w:firstLineChars="200"/>
        <w:rPr>
          <w:rFonts w:hint="default" w:asciiTheme="minorEastAsia" w:hAnsiTheme="minorEastAsia" w:eastAsiaTheme="minorEastAsia"/>
          <w:bCs/>
          <w:szCs w:val="21"/>
          <w:lang w:val="en-US" w:eastAsia="zh-CN"/>
        </w:rPr>
      </w:pPr>
      <w:r>
        <w:rPr>
          <w:rFonts w:hint="eastAsia" w:asciiTheme="minorEastAsia" w:hAnsiTheme="minorEastAsia"/>
          <w:bCs/>
          <w:szCs w:val="21"/>
          <w:lang w:val="en-US" w:eastAsia="zh-CN"/>
        </w:rPr>
        <w:t>申请扩大范围：</w:t>
      </w:r>
      <w:bookmarkStart w:id="4" w:name="审核范围"/>
      <w:r>
        <w:rPr>
          <w:color w:val="000000"/>
          <w:szCs w:val="21"/>
        </w:rPr>
        <w:t>太阳能热水器、太阳能路灯及太阳能路灯组件【路灯杆、LED路灯灯具（36V及以下）】、市电路灯、太阳能杀虫灯、光伏组件、光伏发电产品、光伏提灌站的研发、生产、销售、安装服务；水利水电工程、电力工程、城市及道路照明工程、建筑机电安装工程的施工和调试。</w:t>
      </w:r>
      <w:bookmarkEnd w:id="4"/>
    </w:p>
    <w:p>
      <w:pPr>
        <w:widowControl/>
        <w:numPr>
          <w:ilvl w:val="0"/>
          <w:numId w:val="3"/>
        </w:numPr>
        <w:spacing w:line="360" w:lineRule="auto"/>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widowControl/>
        <w:spacing w:line="360" w:lineRule="auto"/>
        <w:rPr>
          <w:rFonts w:ascii="宋体" w:hAnsi="宋体" w:eastAsia="宋体" w:cs="宋体"/>
          <w:kern w:val="0"/>
          <w:szCs w:val="21"/>
        </w:rPr>
      </w:pPr>
      <w:r>
        <w:rPr>
          <w:rFonts w:hint="eastAsia" w:ascii="宋体" w:hAnsi="宋体" w:eastAsia="宋体" w:cs="宋体"/>
          <w:kern w:val="0"/>
          <w:szCs w:val="21"/>
        </w:rPr>
        <w:t>10. 本次监督审核共出具一般不符合项</w:t>
      </w:r>
      <w:r>
        <w:rPr>
          <w:rFonts w:hint="eastAsia" w:ascii="宋体" w:hAnsi="宋体" w:eastAsia="宋体" w:cs="宋体"/>
          <w:kern w:val="0"/>
          <w:szCs w:val="21"/>
          <w:lang w:val="en-US" w:eastAsia="zh-CN"/>
        </w:rPr>
        <w:t>1</w:t>
      </w:r>
      <w:r>
        <w:rPr>
          <w:rFonts w:hint="eastAsia" w:ascii="宋体" w:hAnsi="宋体" w:eastAsia="宋体" w:cs="宋体"/>
          <w:kern w:val="0"/>
          <w:szCs w:val="21"/>
        </w:rPr>
        <w:t>项，未发现严重的或系统性的不符合情况：</w:t>
      </w:r>
    </w:p>
    <w:p>
      <w:pPr>
        <w:widowControl/>
        <w:numPr>
          <w:ilvl w:val="0"/>
          <w:numId w:val="0"/>
        </w:numPr>
        <w:spacing w:line="360" w:lineRule="auto"/>
        <w:jc w:val="both"/>
        <w:rPr>
          <w:rFonts w:cs="宋体" w:asciiTheme="minorEastAsia" w:hAnsiTheme="minorEastAsia"/>
          <w:bCs/>
          <w:kern w:val="0"/>
          <w:szCs w:val="21"/>
        </w:rPr>
      </w:pPr>
      <w:r>
        <w:rPr>
          <w:rFonts w:hint="eastAsia" w:ascii="宋体" w:hAnsi="宋体"/>
          <w:szCs w:val="21"/>
          <w:lang w:val="en-US" w:eastAsia="zh-CN"/>
        </w:rPr>
        <w:t>10.1查</w:t>
      </w:r>
      <w:r>
        <w:rPr>
          <w:rFonts w:hint="eastAsia" w:ascii="宋体" w:hAnsi="宋体" w:cs="宋体"/>
          <w:kern w:val="0"/>
          <w:szCs w:val="21"/>
          <w:lang w:val="en-US" w:eastAsia="zh-CN"/>
        </w:rPr>
        <w:t>办公室，</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日公司进行了测量管理体系内审，内审员郑娟、马介</w:t>
      </w:r>
      <w:r>
        <w:rPr>
          <w:rFonts w:hint="eastAsia" w:ascii="宋体" w:hAnsi="宋体"/>
          <w:szCs w:val="21"/>
          <w:lang w:val="en-US" w:eastAsia="zh-CN"/>
        </w:rPr>
        <w:t>不能提供相关内容的培训记录，不符合</w:t>
      </w:r>
      <w:r>
        <w:rPr>
          <w:rFonts w:hint="eastAsia" w:ascii="宋体" w:hAnsi="宋体"/>
          <w:szCs w:val="21"/>
        </w:rPr>
        <w:t>GB/T19022-2003 6.1.2条。</w:t>
      </w:r>
      <w:bookmarkStart w:id="6" w:name="_GoBack"/>
      <w:bookmarkEnd w:id="6"/>
    </w:p>
    <w:p>
      <w:pPr>
        <w:widowControl/>
        <w:numPr>
          <w:ilvl w:val="0"/>
          <w:numId w:val="0"/>
        </w:numPr>
        <w:spacing w:line="276" w:lineRule="auto"/>
        <w:ind w:leftChars="0"/>
        <w:rPr>
          <w:rFonts w:ascii="宋体" w:hAnsi="宋体" w:eastAsia="宋体" w:cs="宋体"/>
          <w:kern w:val="0"/>
          <w:szCs w:val="28"/>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4</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6</w:t>
      </w:r>
      <w:r>
        <w:rPr>
          <w:rFonts w:hint="eastAsia" w:ascii="宋体" w:hAnsi="宋体" w:eastAsia="宋体" w:cs="宋体"/>
          <w:bCs/>
          <w:kern w:val="0"/>
          <w:szCs w:val="21"/>
        </w:rPr>
        <w:t>日对</w:t>
      </w:r>
      <w:r>
        <w:rPr>
          <w:rFonts w:hint="eastAsia" w:cs="宋体" w:asciiTheme="minorEastAsia" w:hAnsiTheme="minorEastAsia"/>
          <w:kern w:val="0"/>
          <w:szCs w:val="21"/>
        </w:rPr>
        <w:t>四川蜀旺新能源股份有限公司</w:t>
      </w:r>
      <w:r>
        <w:rPr>
          <w:rFonts w:hint="eastAsia" w:ascii="宋体" w:hAnsi="宋体" w:eastAsia="宋体" w:cs="宋体"/>
          <w:bCs/>
          <w:kern w:val="0"/>
          <w:szCs w:val="21"/>
        </w:rPr>
        <w:t>建立的测量管理体系进行年度监督审核.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cs="宋体" w:asciiTheme="minorEastAsia" w:hAnsiTheme="minorEastAsia"/>
          <w:kern w:val="0"/>
          <w:szCs w:val="21"/>
        </w:rPr>
        <w:t>四川蜀旺新能源股份有限公司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20" w:firstLineChars="200"/>
        <w:rPr>
          <w:rStyle w:val="12"/>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w:t>
      </w:r>
      <w:r>
        <w:rPr>
          <w:rFonts w:hint="eastAsia" w:ascii="宋体" w:hAnsi="宋体" w:eastAsia="宋体" w:cs="宋体"/>
          <w:bCs/>
          <w:kern w:val="0"/>
          <w:szCs w:val="21"/>
        </w:rPr>
        <w:t xml:space="preserve">加强对重要、关键测量过程的识别、控制工作，使测量管理体系能够更加有效地发挥作用。 </w:t>
      </w:r>
    </w:p>
    <w:p>
      <w:pPr>
        <w:widowControl/>
        <w:numPr>
          <w:ilvl w:val="0"/>
          <w:numId w:val="0"/>
        </w:numPr>
        <w:spacing w:line="276" w:lineRule="auto"/>
        <w:ind w:leftChars="0"/>
        <w:rPr>
          <w:rFonts w:ascii="宋体" w:hAnsi="宋体" w:eastAsia="宋体" w:cs="宋体"/>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center"/>
        <w:rPr>
          <w:rFonts w:hint="default" w:ascii="宋体" w:hAnsi="宋体" w:eastAsia="宋体" w:cs="宋体"/>
          <w:kern w:val="0"/>
          <w:szCs w:val="28"/>
          <w:lang w:val="en-US" w:eastAsia="zh-CN"/>
        </w:rPr>
      </w:pPr>
      <w:r>
        <w:rPr>
          <w:rFonts w:hint="eastAsia" w:ascii="宋体" w:hAnsi="宋体" w:eastAsiaTheme="minorEastAsia"/>
          <w:szCs w:val="21"/>
          <w:lang w:eastAsia="zh-CN"/>
        </w:rPr>
        <w:drawing>
          <wp:anchor distT="0" distB="0" distL="114300" distR="114300" simplePos="0" relativeHeight="251740160" behindDoc="0" locked="0" layoutInCell="1" allowOverlap="1">
            <wp:simplePos x="0" y="0"/>
            <wp:positionH relativeFrom="column">
              <wp:posOffset>3874135</wp:posOffset>
            </wp:positionH>
            <wp:positionV relativeFrom="paragraph">
              <wp:posOffset>17780</wp:posOffset>
            </wp:positionV>
            <wp:extent cx="767715" cy="329565"/>
            <wp:effectExtent l="0" t="0" r="6985" b="635"/>
            <wp:wrapNone/>
            <wp:docPr id="34" name="图片 34" descr="d024a11fa5ca45816ea93fbabb84e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d024a11fa5ca45816ea93fbabb84e2f"/>
                    <pic:cNvPicPr>
                      <a:picLocks noChangeAspect="1"/>
                    </pic:cNvPicPr>
                  </pic:nvPicPr>
                  <pic:blipFill>
                    <a:blip r:embed="rId6"/>
                    <a:stretch>
                      <a:fillRect/>
                    </a:stretch>
                  </pic:blipFill>
                  <pic:spPr>
                    <a:xfrm>
                      <a:off x="0" y="0"/>
                      <a:ext cx="767715" cy="329565"/>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3112770</wp:posOffset>
            </wp:positionH>
            <wp:positionV relativeFrom="paragraph">
              <wp:posOffset>27305</wp:posOffset>
            </wp:positionV>
            <wp:extent cx="351155" cy="277495"/>
            <wp:effectExtent l="0" t="0" r="444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51155" cy="277495"/>
                    </a:xfrm>
                    <a:prstGeom prst="rect">
                      <a:avLst/>
                    </a:prstGeom>
                    <a:noFill/>
                    <a:ln>
                      <a:noFill/>
                    </a:ln>
                  </pic:spPr>
                </pic:pic>
              </a:graphicData>
            </a:graphic>
          </wp:anchor>
        </w:drawing>
      </w:r>
      <w:r>
        <w:rPr>
          <w:rFonts w:ascii="宋体" w:hAnsi="宋体" w:eastAsia="宋体" w:cs="宋体"/>
          <w:kern w:val="0"/>
          <w:szCs w:val="28"/>
        </w:rPr>
        <w:t>审核员 （签字）：</w:t>
      </w:r>
      <w:r>
        <w:rPr>
          <w:rFonts w:hint="eastAsia" w:ascii="宋体" w:hAnsi="宋体" w:eastAsia="宋体" w:cs="宋体"/>
          <w:kern w:val="0"/>
          <w:szCs w:val="28"/>
          <w:lang w:val="en-US" w:eastAsia="zh-CN"/>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 xml:space="preserve">                                     </w:t>
      </w:r>
      <w:r>
        <w:rPr>
          <w:rFonts w:hint="eastAsia" w:ascii="宋体" w:hAnsi="宋体" w:eastAsia="宋体" w:cs="宋体"/>
          <w:kern w:val="0"/>
          <w:szCs w:val="28"/>
        </w:rPr>
        <w:t xml:space="preserve"> 日期：</w:t>
      </w:r>
      <w:r>
        <w:rPr>
          <w:rFonts w:hint="eastAsia" w:ascii="宋体" w:hAnsi="宋体" w:eastAsia="宋体" w:cs="宋体"/>
          <w:b/>
          <w:bCs/>
          <w:kern w:val="0"/>
          <w:szCs w:val="21"/>
          <w:lang w:val="en-US" w:eastAsia="zh-CN"/>
        </w:rPr>
        <w:t xml:space="preserve">  2020.4.6</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hint="eastAsia" w:ascii="宋体" w:hAnsi="宋体" w:eastAsia="宋体" w:cs="宋体"/>
          <w:kern w:val="0"/>
          <w:szCs w:val="28"/>
        </w:rPr>
      </w:pP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numPr>
          <w:ilvl w:val="0"/>
          <w:numId w:val="4"/>
        </w:numPr>
        <w:spacing w:line="276" w:lineRule="auto"/>
        <w:ind w:right="1050"/>
        <w:rPr>
          <w:rFonts w:ascii="宋体" w:hAnsi="宋体" w:eastAsia="宋体" w:cs="宋体"/>
          <w:kern w:val="0"/>
          <w:szCs w:val="28"/>
        </w:rPr>
      </w:pP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p>
    <w:p>
      <w:pPr>
        <w:widowControl/>
        <w:numPr>
          <w:ilvl w:val="0"/>
          <w:numId w:val="0"/>
        </w:numPr>
        <w:spacing w:line="276" w:lineRule="auto"/>
        <w:ind w:right="1050" w:rightChars="0" w:firstLine="630" w:firstLineChars="300"/>
        <w:rPr>
          <w:rFonts w:ascii="宋体" w:hAnsi="宋体" w:eastAsia="宋体" w:cs="宋体"/>
          <w:kern w:val="0"/>
          <w:szCs w:val="28"/>
        </w:rPr>
      </w:pPr>
    </w:p>
    <w:p>
      <w:pPr>
        <w:widowControl/>
        <w:numPr>
          <w:ilvl w:val="0"/>
          <w:numId w:val="0"/>
        </w:numPr>
        <w:spacing w:line="276" w:lineRule="auto"/>
        <w:ind w:right="1050" w:rightChars="0" w:firstLine="630" w:firstLineChars="300"/>
        <w:rPr>
          <w:rFonts w:ascii="宋体" w:hAnsi="宋体" w:eastAsia="宋体" w:cs="宋体"/>
          <w:kern w:val="0"/>
          <w:szCs w:val="28"/>
        </w:rPr>
      </w:pPr>
    </w:p>
    <w:p>
      <w:pPr>
        <w:widowControl/>
        <w:numPr>
          <w:ilvl w:val="0"/>
          <w:numId w:val="0"/>
        </w:numPr>
        <w:spacing w:line="276" w:lineRule="auto"/>
        <w:ind w:right="1050" w:rightChars="0" w:firstLine="630" w:firstLineChars="300"/>
        <w:rPr>
          <w:rFonts w:ascii="宋体" w:hAnsi="宋体" w:eastAsia="宋体" w:cs="宋体"/>
          <w:kern w:val="0"/>
          <w:szCs w:val="28"/>
        </w:rPr>
      </w:pPr>
    </w:p>
    <w:p>
      <w:pPr>
        <w:widowControl/>
        <w:numPr>
          <w:ilvl w:val="0"/>
          <w:numId w:val="0"/>
        </w:numPr>
        <w:spacing w:line="276" w:lineRule="auto"/>
        <w:ind w:right="1050" w:rightChars="0" w:firstLine="630" w:firstLineChars="300"/>
        <w:rPr>
          <w:rFonts w:ascii="宋体" w:hAnsi="宋体" w:eastAsia="宋体" w:cs="宋体"/>
          <w:kern w:val="0"/>
          <w:szCs w:val="28"/>
        </w:rPr>
      </w:pPr>
    </w:p>
    <w:p>
      <w:pPr>
        <w:widowControl/>
        <w:numPr>
          <w:ilvl w:val="0"/>
          <w:numId w:val="0"/>
        </w:numPr>
        <w:spacing w:line="276" w:lineRule="auto"/>
        <w:ind w:right="1050" w:rightChars="0" w:firstLine="6300" w:firstLineChars="3000"/>
        <w:rPr>
          <w:rFonts w:ascii="宋体" w:hAnsi="宋体" w:eastAsia="宋体" w:cs="宋体"/>
          <w:kern w:val="0"/>
          <w:szCs w:val="28"/>
        </w:rPr>
      </w:pP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bookmarkStart w:id="5"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5"/>
      <w:pBdr>
        <w:bottom w:val="none" w:color="auto" w:sz="0" w:space="0"/>
      </w:pBdr>
      <w:spacing w:line="320" w:lineRule="exact"/>
      <w:jc w:val="left"/>
      <w:rPr>
        <w:rStyle w:val="10"/>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10"/>
        <w:rFonts w:hint="default" w:ascii="Times New Roman" w:hAnsi="Times New Roman" w:cs="Times New Roman"/>
        <w:szCs w:val="21"/>
      </w:rPr>
      <w:t>北京国标联合认证有限公司</w:t>
    </w:r>
  </w:p>
  <w:p>
    <w:pPr>
      <w:pStyle w:val="5"/>
      <w:pBdr>
        <w:bottom w:val="none" w:color="auto" w:sz="0" w:space="0"/>
      </w:pBdr>
      <w:spacing w:line="320" w:lineRule="exact"/>
      <w:jc w:val="left"/>
    </w:pPr>
    <w:r>
      <w:rPr>
        <w:rStyle w:val="10"/>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5"/>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DF63DB"/>
    <w:multiLevelType w:val="singleLevel"/>
    <w:tmpl w:val="CEDF63DB"/>
    <w:lvl w:ilvl="0" w:tentative="0">
      <w:start w:val="9"/>
      <w:numFmt w:val="decimal"/>
      <w:lvlText w:val="%1."/>
      <w:lvlJc w:val="left"/>
      <w:pPr>
        <w:tabs>
          <w:tab w:val="left" w:pos="312"/>
        </w:tabs>
      </w:pPr>
    </w:lvl>
  </w:abstractNum>
  <w:abstractNum w:abstractNumId="1">
    <w:nsid w:val="D0274CBD"/>
    <w:multiLevelType w:val="singleLevel"/>
    <w:tmpl w:val="D0274CBD"/>
    <w:lvl w:ilvl="0" w:tentative="0">
      <w:start w:val="2"/>
      <w:numFmt w:val="decimal"/>
      <w:lvlText w:val="%1."/>
      <w:lvlJc w:val="left"/>
      <w:pPr>
        <w:tabs>
          <w:tab w:val="left" w:pos="312"/>
        </w:tabs>
      </w:pPr>
    </w:lvl>
  </w:abstractNum>
  <w:abstractNum w:abstractNumId="2">
    <w:nsid w:val="06ADCB28"/>
    <w:multiLevelType w:val="singleLevel"/>
    <w:tmpl w:val="06ADCB28"/>
    <w:lvl w:ilvl="0" w:tentative="0">
      <w:start w:val="5"/>
      <w:numFmt w:val="chineseCounting"/>
      <w:suff w:val="space"/>
      <w:lvlText w:val="%1、"/>
      <w:lvlJc w:val="left"/>
      <w:rPr>
        <w:rFonts w:hint="eastAsia"/>
      </w:rPr>
    </w:lvl>
  </w:abstractNum>
  <w:abstractNum w:abstractNumId="3">
    <w:nsid w:val="28964EC1"/>
    <w:multiLevelType w:val="singleLevel"/>
    <w:tmpl w:val="28964EC1"/>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0D6311D"/>
    <w:rsid w:val="11146C7F"/>
    <w:rsid w:val="25BE18DA"/>
    <w:rsid w:val="25DD4A74"/>
    <w:rsid w:val="2A740572"/>
    <w:rsid w:val="3523795E"/>
    <w:rsid w:val="353B7856"/>
    <w:rsid w:val="425173E2"/>
    <w:rsid w:val="68426CB1"/>
    <w:rsid w:val="728552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unhideWhenUsed/>
    <w:qFormat/>
    <w:uiPriority w:val="99"/>
    <w:pPr>
      <w:ind w:firstLine="420" w:firstLineChars="200"/>
    </w:pPr>
  </w:style>
  <w:style w:type="character" w:customStyle="1" w:styleId="12">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5</TotalTime>
  <ScaleCrop>false</ScaleCrop>
  <LinksUpToDate>false</LinksUpToDate>
  <CharactersWithSpaces>540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2020-04-26T10:10:33Z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