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7"/>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9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sz w:val="24"/>
                <w:szCs w:val="24"/>
                <w:lang w:val="en-US" w:eastAsia="zh-CN"/>
              </w:rPr>
              <w:t>马胜君（总经理兼管代）</w:t>
            </w:r>
          </w:p>
        </w:tc>
        <w:tc>
          <w:tcPr>
            <w:tcW w:w="69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9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2020.4.11</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97" w:type="dxa"/>
            <w:vAlign w:val="center"/>
          </w:tcPr>
          <w:p>
            <w:pPr>
              <w:rPr>
                <w:sz w:val="24"/>
                <w:szCs w:val="24"/>
              </w:rPr>
            </w:pPr>
            <w:r>
              <w:rPr>
                <w:rFonts w:hint="eastAsia"/>
                <w:sz w:val="24"/>
                <w:szCs w:val="24"/>
              </w:rPr>
              <w:t>审核条款：</w:t>
            </w:r>
            <w:r>
              <w:rPr>
                <w:rFonts w:hint="eastAsia"/>
                <w:sz w:val="21"/>
                <w:szCs w:val="21"/>
              </w:rPr>
              <w:t>4.1/4.2</w:t>
            </w:r>
            <w:r>
              <w:rPr>
                <w:rFonts w:hint="eastAsia"/>
                <w:sz w:val="21"/>
                <w:szCs w:val="21"/>
                <w:lang w:val="en-US" w:eastAsia="zh-CN"/>
              </w:rPr>
              <w:t>/</w:t>
            </w:r>
            <w:r>
              <w:rPr>
                <w:rFonts w:hint="eastAsia"/>
                <w:sz w:val="21"/>
                <w:szCs w:val="21"/>
              </w:rPr>
              <w:t>4.3/4.4/5.2/6.2/9.2/9.3</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公司概况，资质情况</w:t>
            </w:r>
          </w:p>
          <w:p>
            <w:pPr>
              <w:rPr>
                <w:sz w:val="21"/>
                <w:szCs w:val="21"/>
              </w:rPr>
            </w:pPr>
            <w:r>
              <w:rPr>
                <w:rFonts w:hint="eastAsia"/>
                <w:sz w:val="21"/>
                <w:szCs w:val="21"/>
              </w:rPr>
              <w:t>组织机构、体系策划实施情况</w:t>
            </w:r>
          </w:p>
          <w:p>
            <w:pPr>
              <w:rPr>
                <w:rFonts w:hint="eastAsia"/>
                <w:sz w:val="21"/>
                <w:szCs w:val="21"/>
              </w:rPr>
            </w:pPr>
            <w:r>
              <w:rPr>
                <w:rFonts w:hint="eastAsia"/>
                <w:sz w:val="21"/>
                <w:szCs w:val="21"/>
              </w:rPr>
              <w:t>认证范围确认</w:t>
            </w:r>
          </w:p>
          <w:p>
            <w:r>
              <w:rPr>
                <w:rFonts w:hint="eastAsia"/>
                <w:sz w:val="21"/>
                <w:szCs w:val="21"/>
              </w:rPr>
              <w:t>外包过程</w:t>
            </w:r>
          </w:p>
        </w:tc>
        <w:tc>
          <w:tcPr>
            <w:tcW w:w="960" w:type="dxa"/>
          </w:tcPr>
          <w:p>
            <w:pPr>
              <w:rPr>
                <w:rFonts w:hint="eastAsia"/>
                <w:sz w:val="21"/>
                <w:szCs w:val="21"/>
              </w:rPr>
            </w:pPr>
            <w:r>
              <w:rPr>
                <w:rFonts w:hint="eastAsia"/>
                <w:sz w:val="21"/>
                <w:szCs w:val="21"/>
              </w:rPr>
              <w:t>4.1</w:t>
            </w:r>
          </w:p>
          <w:p>
            <w:pPr>
              <w:rPr>
                <w:rFonts w:hint="eastAsia"/>
                <w:sz w:val="21"/>
                <w:szCs w:val="21"/>
              </w:rPr>
            </w:pPr>
            <w:r>
              <w:rPr>
                <w:rFonts w:hint="eastAsia"/>
                <w:sz w:val="21"/>
                <w:szCs w:val="21"/>
              </w:rPr>
              <w:t>4.2</w:t>
            </w:r>
          </w:p>
          <w:p>
            <w:pPr>
              <w:rPr>
                <w:rFonts w:hint="eastAsia"/>
                <w:sz w:val="21"/>
                <w:szCs w:val="21"/>
              </w:rPr>
            </w:pPr>
            <w:r>
              <w:rPr>
                <w:rFonts w:hint="eastAsia"/>
                <w:sz w:val="21"/>
                <w:szCs w:val="21"/>
              </w:rPr>
              <w:t>4.3</w:t>
            </w:r>
          </w:p>
          <w:p>
            <w:r>
              <w:rPr>
                <w:rFonts w:hint="eastAsia"/>
                <w:sz w:val="21"/>
                <w:szCs w:val="21"/>
              </w:rPr>
              <w:t>4.4</w:t>
            </w:r>
          </w:p>
        </w:tc>
        <w:tc>
          <w:tcPr>
            <w:tcW w:w="10897" w:type="dxa"/>
          </w:tcPr>
          <w:p>
            <w:pPr>
              <w:rPr>
                <w:rFonts w:hint="eastAsia"/>
                <w:sz w:val="21"/>
                <w:szCs w:val="21"/>
              </w:rPr>
            </w:pPr>
            <w:r>
              <w:rPr>
                <w:sz w:val="21"/>
                <w:szCs w:val="21"/>
              </w:rPr>
              <w:t>■</w:t>
            </w:r>
            <w:r>
              <w:rPr>
                <w:rFonts w:hint="eastAsia"/>
                <w:sz w:val="21"/>
                <w:szCs w:val="21"/>
              </w:rPr>
              <w:t>按照认证范围公司提供的法律证明文件有：营业执照，</w:t>
            </w:r>
            <w:r>
              <w:rPr>
                <w:rFonts w:hint="eastAsia"/>
                <w:sz w:val="21"/>
                <w:szCs w:val="21"/>
                <w:lang w:val="en-US" w:eastAsia="zh-CN"/>
              </w:rPr>
              <w:t>提供了扫描件</w:t>
            </w:r>
            <w:r>
              <w:rPr>
                <w:rFonts w:hint="eastAsia"/>
                <w:sz w:val="21"/>
                <w:szCs w:val="21"/>
              </w:rPr>
              <w:t>，包括认证范围。</w:t>
            </w:r>
          </w:p>
          <w:p>
            <w:pPr>
              <w:rPr>
                <w:rFonts w:hint="eastAsia" w:ascii="Times New Roman" w:hAnsi="Times New Roman" w:cs="Times New Roman"/>
                <w:sz w:val="21"/>
                <w:szCs w:val="21"/>
                <w:lang w:val="en-GB"/>
              </w:rPr>
            </w:pPr>
            <w:r>
              <w:rPr>
                <w:rFonts w:hint="eastAsia" w:ascii="Times New Roman" w:hAnsi="Times New Roman" w:cs="Times New Roman"/>
                <w:sz w:val="21"/>
                <w:szCs w:val="21"/>
              </w:rPr>
              <w:t>受审核方201</w:t>
            </w:r>
            <w:r>
              <w:rPr>
                <w:rFonts w:hint="eastAsia" w:ascii="Times New Roman" w:hAnsi="Times New Roman" w:cs="Times New Roman"/>
                <w:sz w:val="21"/>
                <w:szCs w:val="21"/>
                <w:lang w:val="en-US" w:eastAsia="zh-CN"/>
              </w:rPr>
              <w:t>5</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10</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9</w:t>
            </w:r>
            <w:r>
              <w:rPr>
                <w:rFonts w:hint="eastAsia" w:ascii="Times New Roman" w:hAnsi="Times New Roman" w:cs="Times New Roman"/>
                <w:sz w:val="21"/>
                <w:szCs w:val="21"/>
              </w:rPr>
              <w:t>日，注册资本</w:t>
            </w:r>
            <w:r>
              <w:rPr>
                <w:rFonts w:hint="eastAsia" w:ascii="Times New Roman" w:hAnsi="Times New Roman" w:cs="Times New Roman"/>
                <w:sz w:val="21"/>
                <w:szCs w:val="21"/>
                <w:lang w:val="en-US" w:eastAsia="zh-CN"/>
              </w:rPr>
              <w:t>15600</w:t>
            </w:r>
            <w:r>
              <w:rPr>
                <w:rFonts w:hint="eastAsia" w:ascii="Times New Roman" w:hAnsi="Times New Roman" w:cs="Times New Roman"/>
                <w:sz w:val="21"/>
                <w:szCs w:val="21"/>
              </w:rPr>
              <w:t>万元，</w:t>
            </w:r>
            <w:r>
              <w:rPr>
                <w:rFonts w:hint="eastAsia" w:ascii="Times New Roman" w:hAnsi="Times New Roman" w:cs="Times New Roman"/>
                <w:sz w:val="21"/>
                <w:szCs w:val="21"/>
                <w:lang w:val="en-US" w:eastAsia="zh-CN"/>
              </w:rPr>
              <w:t>注册/经营地址为</w:t>
            </w:r>
            <w:r>
              <w:rPr>
                <w:rFonts w:hint="eastAsia" w:ascii="Times New Roman" w:hAnsi="Times New Roman" w:cs="Times New Roman"/>
                <w:sz w:val="21"/>
                <w:szCs w:val="21"/>
              </w:rPr>
              <w:t>河北省</w:t>
            </w:r>
            <w:r>
              <w:rPr>
                <w:rFonts w:hint="eastAsia" w:ascii="Times New Roman" w:hAnsi="Times New Roman" w:cs="Times New Roman"/>
                <w:sz w:val="21"/>
                <w:szCs w:val="21"/>
                <w:lang w:eastAsia="zh-CN"/>
              </w:rPr>
              <w:t>任丘市麻家坞镇南马庄村</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办公室100</w:t>
            </w:r>
            <w:r>
              <w:rPr>
                <w:rFonts w:hint="eastAsia" w:ascii="Times New Roman" w:hAnsi="Times New Roman" w:cs="Times New Roman"/>
                <w:sz w:val="21"/>
                <w:szCs w:val="21"/>
              </w:rPr>
              <w:t>平</w:t>
            </w:r>
            <w:r>
              <w:rPr>
                <w:rFonts w:hint="eastAsia" w:ascii="Times New Roman" w:hAnsi="Times New Roman" w:cs="Times New Roman"/>
                <w:sz w:val="21"/>
                <w:szCs w:val="21"/>
                <w:lang w:eastAsia="zh-CN"/>
              </w:rPr>
              <w:t>米，</w:t>
            </w:r>
            <w:r>
              <w:rPr>
                <w:rFonts w:hint="eastAsia" w:ascii="Times New Roman" w:hAnsi="Times New Roman" w:cs="Times New Roman"/>
                <w:sz w:val="21"/>
                <w:szCs w:val="21"/>
                <w:lang w:val="en-US" w:eastAsia="zh-CN"/>
              </w:rPr>
              <w:t>库房300平米</w:t>
            </w:r>
            <w:r>
              <w:rPr>
                <w:rFonts w:hint="eastAsia" w:ascii="Times New Roman" w:hAnsi="Times New Roman" w:cs="Times New Roman"/>
                <w:sz w:val="21"/>
                <w:szCs w:val="21"/>
              </w:rPr>
              <w:t>主要</w:t>
            </w:r>
            <w:r>
              <w:rPr>
                <w:rFonts w:hint="eastAsia" w:ascii="Times New Roman" w:hAnsi="Times New Roman" w:cs="Times New Roman"/>
                <w:sz w:val="21"/>
                <w:szCs w:val="21"/>
                <w:lang w:eastAsia="zh-CN"/>
              </w:rPr>
              <w:t>从事通信光缆、塑料通信器材、钢绞线、通信铁件、电话线、通信箱体、线路铁件（电力铁附件）、线路警示牌、标识牌、通信井具、电力铁件</w:t>
            </w:r>
            <w:r>
              <w:rPr>
                <w:rFonts w:hint="eastAsia" w:ascii="Times New Roman" w:hAnsi="Times New Roman" w:cs="Times New Roman"/>
                <w:sz w:val="21"/>
                <w:szCs w:val="21"/>
              </w:rPr>
              <w:t>的销售，主要服务于</w:t>
            </w:r>
            <w:r>
              <w:rPr>
                <w:rFonts w:hint="eastAsia" w:ascii="Times New Roman" w:hAnsi="Times New Roman" w:cs="Times New Roman"/>
                <w:sz w:val="21"/>
                <w:szCs w:val="21"/>
                <w:lang w:val="en-US" w:eastAsia="zh-CN"/>
              </w:rPr>
              <w:t>通信</w:t>
            </w:r>
            <w:r>
              <w:rPr>
                <w:rFonts w:hint="eastAsia" w:ascii="Times New Roman" w:hAnsi="Times New Roman" w:cs="Times New Roman"/>
                <w:sz w:val="21"/>
                <w:szCs w:val="21"/>
                <w:lang w:eastAsia="zh-CN"/>
              </w:rPr>
              <w:t>行业</w:t>
            </w:r>
            <w:r>
              <w:rPr>
                <w:rFonts w:hint="eastAsia" w:ascii="Times New Roman" w:hAnsi="Times New Roman" w:cs="Times New Roman"/>
                <w:sz w:val="21"/>
                <w:szCs w:val="21"/>
              </w:rPr>
              <w:t>等。</w:t>
            </w:r>
          </w:p>
          <w:p>
            <w:pPr>
              <w:rPr>
                <w:rFonts w:hint="eastAsia"/>
                <w:sz w:val="21"/>
                <w:szCs w:val="21"/>
                <w:lang w:val="en-GB"/>
              </w:rPr>
            </w:pPr>
            <w:r>
              <w:rPr>
                <w:sz w:val="21"/>
                <w:szCs w:val="21"/>
              </w:rPr>
              <w:t>■</w:t>
            </w:r>
            <w:r>
              <w:rPr>
                <w:rFonts w:hint="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sz w:val="21"/>
                <w:szCs w:val="21"/>
                <w:lang w:val="en-US" w:eastAsia="zh-CN"/>
              </w:rPr>
              <w:t>销售</w:t>
            </w:r>
            <w:r>
              <w:rPr>
                <w:rFonts w:hint="eastAsia"/>
                <w:sz w:val="21"/>
                <w:szCs w:val="21"/>
              </w:rPr>
              <w:t>和管理的需求。</w:t>
            </w:r>
            <w:r>
              <w:rPr>
                <w:rFonts w:hint="eastAsia"/>
                <w:sz w:val="21"/>
                <w:szCs w:val="21"/>
                <w:lang w:val="en-GB"/>
              </w:rPr>
              <w:t>通过制定管理制度、作业文件及相关措施，对活动的主要环节实施了有效的控制。</w:t>
            </w:r>
            <w:r>
              <w:rPr>
                <w:rFonts w:hint="eastAsia"/>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管理体系预期结果的能力的各种外部和内部因素。同时，确定了与管理体系有关的相关方及相关要求。并根据所确定的各种因素及相关方和其要求，确定了公司应对的风险和机遇，并对应对措施进行了策划。</w:t>
            </w:r>
          </w:p>
          <w:p>
            <w:pPr>
              <w:rPr>
                <w:rFonts w:hint="eastAsia"/>
                <w:sz w:val="21"/>
                <w:szCs w:val="21"/>
              </w:rPr>
            </w:pPr>
            <w:r>
              <w:rPr>
                <w:rFonts w:hint="eastAsia"/>
                <w:sz w:val="21"/>
                <w:szCs w:val="21"/>
              </w:rPr>
              <w:t>■审核组与受审核方现场确认的审核范围：</w:t>
            </w:r>
            <w:r>
              <w:rPr>
                <w:rFonts w:hint="eastAsia"/>
                <w:sz w:val="21"/>
                <w:szCs w:val="21"/>
                <w:lang w:eastAsia="zh-CN"/>
              </w:rPr>
              <w:t>通信光缆、塑料通信器材、钢绞线、通信铁件、电话线、通信箱体、线路铁件（电力铁附件）、线路警示牌、标识牌、通信井具、电力铁件的销售及其相关的环境管理活动</w:t>
            </w:r>
          </w:p>
          <w:p>
            <w:pPr>
              <w:rPr>
                <w:rFonts w:hint="eastAsia" w:eastAsia="宋体"/>
                <w:sz w:val="21"/>
                <w:szCs w:val="21"/>
                <w:lang w:eastAsia="zh-CN"/>
              </w:rPr>
            </w:pPr>
            <w:r>
              <w:rPr>
                <w:rFonts w:hint="eastAsia"/>
                <w:sz w:val="21"/>
                <w:szCs w:val="21"/>
              </w:rPr>
              <w:t>■</w:t>
            </w:r>
            <w:r>
              <w:rPr>
                <w:rFonts w:hint="eastAsia"/>
                <w:sz w:val="21"/>
                <w:szCs w:val="21"/>
                <w:u w:val="none"/>
              </w:rPr>
              <w:t>外包过程：</w:t>
            </w:r>
            <w:r>
              <w:rPr>
                <w:rFonts w:hint="eastAsia"/>
                <w:color w:val="auto"/>
                <w:sz w:val="21"/>
                <w:szCs w:val="21"/>
                <w:u w:val="none"/>
              </w:rPr>
              <w:t>产品运输</w:t>
            </w:r>
            <w:r>
              <w:rPr>
                <w:rFonts w:hint="eastAsia"/>
                <w:color w:val="auto"/>
                <w:sz w:val="21"/>
                <w:szCs w:val="21"/>
                <w:u w:val="none"/>
                <w:lang w:eastAsia="zh-CN"/>
              </w:rPr>
              <w:t>。</w:t>
            </w:r>
          </w:p>
          <w:p>
            <w:r>
              <w:rPr>
                <w:rFonts w:hint="eastAsia"/>
                <w:sz w:val="21"/>
                <w:szCs w:val="21"/>
              </w:rPr>
              <w:t>■管理体系覆盖人数</w:t>
            </w:r>
            <w:r>
              <w:rPr>
                <w:rFonts w:hint="eastAsia"/>
                <w:sz w:val="21"/>
                <w:szCs w:val="21"/>
                <w:lang w:val="en-US" w:eastAsia="zh-CN"/>
              </w:rPr>
              <w:t>25</w:t>
            </w:r>
            <w:r>
              <w:rPr>
                <w:rFonts w:hint="eastAsia"/>
                <w:sz w:val="21"/>
                <w:szCs w:val="21"/>
              </w:rPr>
              <w:t>人</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2160" w:type="dxa"/>
          </w:tcPr>
          <w:p>
            <w:r>
              <w:rPr>
                <w:rFonts w:hint="eastAsia"/>
                <w:sz w:val="21"/>
                <w:szCs w:val="21"/>
              </w:rPr>
              <w:t>管理方针和目标的适宜性</w:t>
            </w:r>
          </w:p>
        </w:tc>
        <w:tc>
          <w:tcPr>
            <w:tcW w:w="960" w:type="dxa"/>
          </w:tcPr>
          <w:p>
            <w:pPr>
              <w:rPr>
                <w:rFonts w:hint="eastAsia"/>
                <w:sz w:val="21"/>
                <w:szCs w:val="21"/>
              </w:rPr>
            </w:pPr>
            <w:r>
              <w:rPr>
                <w:rFonts w:hint="eastAsia"/>
                <w:sz w:val="21"/>
                <w:szCs w:val="21"/>
              </w:rPr>
              <w:t>5.2</w:t>
            </w:r>
          </w:p>
          <w:p>
            <w:r>
              <w:rPr>
                <w:rFonts w:hint="eastAsia"/>
                <w:sz w:val="21"/>
                <w:szCs w:val="21"/>
              </w:rPr>
              <w:t>6.2</w:t>
            </w:r>
          </w:p>
        </w:tc>
        <w:tc>
          <w:tcPr>
            <w:tcW w:w="10897" w:type="dxa"/>
          </w:tcPr>
          <w:p>
            <w:pPr>
              <w:rPr>
                <w:rFonts w:hint="eastAsia"/>
                <w:sz w:val="21"/>
                <w:szCs w:val="21"/>
              </w:rPr>
            </w:pPr>
            <w:r>
              <w:rPr>
                <w:rFonts w:hint="eastAsia"/>
                <w:sz w:val="21"/>
                <w:szCs w:val="21"/>
                <w:u w:val="none"/>
                <w:lang w:val="en-US" w:eastAsia="zh-CN"/>
              </w:rPr>
              <w:t>环境</w:t>
            </w:r>
            <w:r>
              <w:rPr>
                <w:rFonts w:hint="eastAsia"/>
                <w:sz w:val="21"/>
                <w:szCs w:val="21"/>
                <w:u w:val="none"/>
              </w:rPr>
              <w:t>管</w:t>
            </w:r>
            <w:r>
              <w:rPr>
                <w:rFonts w:hint="eastAsia"/>
                <w:sz w:val="21"/>
                <w:szCs w:val="21"/>
              </w:rPr>
              <w:t>理手册明确了公司的</w:t>
            </w:r>
            <w:r>
              <w:rPr>
                <w:rFonts w:hint="eastAsia"/>
                <w:sz w:val="21"/>
                <w:szCs w:val="21"/>
                <w:lang w:val="en-US" w:eastAsia="zh-CN"/>
              </w:rPr>
              <w:t>环境</w:t>
            </w:r>
            <w:r>
              <w:rPr>
                <w:rFonts w:hint="eastAsia"/>
                <w:sz w:val="21"/>
                <w:szCs w:val="21"/>
              </w:rPr>
              <w:t>方针：</w:t>
            </w:r>
          </w:p>
          <w:p>
            <w:pPr>
              <w:rPr>
                <w:rFonts w:hint="eastAsia"/>
                <w:sz w:val="21"/>
                <w:szCs w:val="21"/>
              </w:rPr>
            </w:pPr>
            <w:r>
              <w:rPr>
                <w:rFonts w:hint="eastAsia"/>
                <w:sz w:val="21"/>
                <w:szCs w:val="21"/>
              </w:rPr>
              <w:t>科学管理，遵守法规，预防污染，持续改进</w:t>
            </w:r>
          </w:p>
          <w:p>
            <w:pPr>
              <w:rPr>
                <w:rFonts w:hint="eastAsia"/>
                <w:sz w:val="21"/>
                <w:szCs w:val="21"/>
              </w:rPr>
            </w:pPr>
            <w:r>
              <w:rPr>
                <w:rFonts w:hint="eastAsia"/>
                <w:sz w:val="21"/>
                <w:szCs w:val="21"/>
              </w:rPr>
              <w:t>总经理证实，与企业的宗旨一直，随管理手册的发布宣传贯彻。</w:t>
            </w:r>
          </w:p>
          <w:p>
            <w:pPr>
              <w:rPr>
                <w:rFonts w:hint="eastAsia"/>
                <w:sz w:val="21"/>
                <w:szCs w:val="21"/>
                <w:lang w:eastAsia="zh-CN"/>
              </w:rPr>
            </w:pPr>
            <w:r>
              <w:rPr>
                <w:rFonts w:hint="eastAsia"/>
                <w:sz w:val="21"/>
                <w:szCs w:val="21"/>
              </w:rPr>
              <w:t>公司</w:t>
            </w:r>
            <w:r>
              <w:rPr>
                <w:rFonts w:hint="eastAsia"/>
                <w:sz w:val="21"/>
                <w:szCs w:val="21"/>
                <w:lang w:val="en-US" w:eastAsia="zh-CN"/>
              </w:rPr>
              <w:t>环境</w:t>
            </w:r>
            <w:r>
              <w:rPr>
                <w:rFonts w:hint="eastAsia"/>
                <w:sz w:val="21"/>
                <w:szCs w:val="21"/>
              </w:rPr>
              <w:t>目标：固体废物100%分类收集；杜绝火灾事故发生</w:t>
            </w:r>
            <w:r>
              <w:rPr>
                <w:rFonts w:hint="eastAsia"/>
                <w:sz w:val="21"/>
                <w:szCs w:val="21"/>
                <w:lang w:eastAsia="zh-CN"/>
              </w:rPr>
              <w:t>。</w:t>
            </w:r>
          </w:p>
          <w:p>
            <w:r>
              <w:rPr>
                <w:rFonts w:hint="eastAsia"/>
                <w:sz w:val="21"/>
                <w:szCs w:val="21"/>
              </w:rPr>
              <w:t>基本符合标准要求。在方针框架下展开，并分解到各职能部门。</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160" w:type="dxa"/>
          </w:tcPr>
          <w:p>
            <w:r>
              <w:rPr>
                <w:rFonts w:hint="eastAsia"/>
                <w:sz w:val="21"/>
                <w:szCs w:val="21"/>
              </w:rPr>
              <w:t>内审、管理评审策划和实施的符合性及可信性</w:t>
            </w:r>
          </w:p>
        </w:tc>
        <w:tc>
          <w:tcPr>
            <w:tcW w:w="960" w:type="dxa"/>
          </w:tcPr>
          <w:p>
            <w:pPr>
              <w:rPr>
                <w:rFonts w:hint="eastAsia"/>
                <w:sz w:val="21"/>
                <w:szCs w:val="21"/>
              </w:rPr>
            </w:pPr>
            <w:r>
              <w:rPr>
                <w:rFonts w:hint="eastAsia"/>
                <w:sz w:val="21"/>
                <w:szCs w:val="21"/>
              </w:rPr>
              <w:t>9.2</w:t>
            </w:r>
          </w:p>
          <w:p>
            <w:r>
              <w:rPr>
                <w:rFonts w:hint="eastAsia"/>
                <w:sz w:val="21"/>
                <w:szCs w:val="21"/>
              </w:rPr>
              <w:t>9.3</w:t>
            </w:r>
          </w:p>
        </w:tc>
        <w:tc>
          <w:tcPr>
            <w:tcW w:w="10897" w:type="dxa"/>
          </w:tcPr>
          <w:p>
            <w:pPr>
              <w:rPr>
                <w:rFonts w:hint="eastAsia"/>
                <w:sz w:val="21"/>
                <w:szCs w:val="21"/>
              </w:rPr>
            </w:pPr>
            <w:r>
              <w:rPr>
                <w:rFonts w:hint="eastAsia"/>
                <w:sz w:val="21"/>
                <w:szCs w:val="21"/>
              </w:rPr>
              <w:t>201</w:t>
            </w:r>
            <w:r>
              <w:rPr>
                <w:rFonts w:hint="eastAsia"/>
                <w:sz w:val="21"/>
                <w:szCs w:val="21"/>
                <w:lang w:val="en-US" w:eastAsia="zh-CN"/>
              </w:rPr>
              <w:t>9</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3-4</w:t>
            </w:r>
            <w:r>
              <w:rPr>
                <w:rFonts w:hint="eastAsia"/>
                <w:sz w:val="21"/>
                <w:szCs w:val="21"/>
              </w:rPr>
              <w:t>日进行内部审核，提供内部审核计划、内审检查表、不合格报告、内部质量管理体系审核报告等，基本符合要求。</w:t>
            </w:r>
          </w:p>
          <w:p>
            <w:r>
              <w:rPr>
                <w:rFonts w:hint="eastAsia"/>
                <w:sz w:val="21"/>
                <w:szCs w:val="21"/>
              </w:rPr>
              <w:t>201</w:t>
            </w:r>
            <w:r>
              <w:rPr>
                <w:rFonts w:hint="eastAsia"/>
                <w:sz w:val="21"/>
                <w:szCs w:val="21"/>
                <w:lang w:val="en-US" w:eastAsia="zh-CN"/>
              </w:rPr>
              <w:t>9</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16</w:t>
            </w:r>
            <w:r>
              <w:rPr>
                <w:rFonts w:hint="eastAsia"/>
                <w:sz w:val="21"/>
                <w:szCs w:val="21"/>
              </w:rPr>
              <w:t>日进行管理评审，由总经理主持会议，有管理评审计划、管理评审输入资料</w:t>
            </w:r>
            <w:r>
              <w:rPr>
                <w:sz w:val="21"/>
                <w:szCs w:val="21"/>
              </w:rPr>
              <w:t>—</w:t>
            </w:r>
            <w:r>
              <w:rPr>
                <w:rFonts w:hint="eastAsia"/>
                <w:sz w:val="21"/>
                <w:szCs w:val="21"/>
              </w:rPr>
              <w:t>各部门工作总结、管理评审报告等，内容基本可信，有效。</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 w:val="21"/>
                <w:szCs w:val="21"/>
              </w:rPr>
            </w:pPr>
            <w:r>
              <w:rPr>
                <w:rFonts w:hint="eastAsia"/>
                <w:sz w:val="21"/>
                <w:szCs w:val="21"/>
              </w:rPr>
              <w:t>遵守法律法规的情况</w:t>
            </w:r>
          </w:p>
          <w:p>
            <w:pPr>
              <w:rPr>
                <w:rFonts w:hint="eastAsia"/>
                <w:sz w:val="21"/>
                <w:szCs w:val="21"/>
              </w:rPr>
            </w:pPr>
            <w:r>
              <w:rPr>
                <w:rFonts w:hint="eastAsia"/>
                <w:sz w:val="21"/>
                <w:szCs w:val="21"/>
              </w:rPr>
              <w:t>事故及投诉情况</w:t>
            </w: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r>
              <w:rPr>
                <w:rFonts w:hint="eastAsia"/>
                <w:sz w:val="21"/>
                <w:szCs w:val="21"/>
              </w:rPr>
              <w:t>确定第二阶段</w:t>
            </w:r>
          </w:p>
          <w:p/>
        </w:tc>
        <w:tc>
          <w:tcPr>
            <w:tcW w:w="960" w:type="dxa"/>
          </w:tcPr>
          <w:p>
            <w:pPr>
              <w:rPr>
                <w:rFonts w:hint="eastAsia"/>
                <w:sz w:val="21"/>
                <w:szCs w:val="21"/>
              </w:rPr>
            </w:pPr>
          </w:p>
        </w:tc>
        <w:tc>
          <w:tcPr>
            <w:tcW w:w="10897" w:type="dxa"/>
          </w:tcPr>
          <w:p>
            <w:pPr>
              <w:rPr>
                <w:sz w:val="21"/>
                <w:szCs w:val="21"/>
              </w:rPr>
            </w:pPr>
            <w:r>
              <w:rPr>
                <w:rFonts w:hint="eastAsia"/>
                <w:sz w:val="21"/>
                <w:szCs w:val="21"/>
              </w:rPr>
              <w:t>企</w:t>
            </w:r>
            <w:r>
              <w:rPr>
                <w:rFonts w:hint="eastAsia"/>
                <w:sz w:val="21"/>
                <w:szCs w:val="21"/>
                <w:lang w:val="en-US" w:eastAsia="zh-CN"/>
              </w:rPr>
              <w:t>业在通信光缆、塑料通信器材、钢绞线、通信铁件、电话线、通信箱体、线路铁件（电力铁附件）、线路警示牌、标识牌、通信井具、电力铁件的销售各过程中能够遵守相关的法律法规和其它要求，提供合规性评价记录，</w:t>
            </w:r>
            <w:r>
              <w:rPr>
                <w:sz w:val="21"/>
                <w:szCs w:val="21"/>
              </w:rPr>
              <w:t>评价时间：201</w:t>
            </w:r>
            <w:r>
              <w:rPr>
                <w:rFonts w:hint="eastAsia"/>
                <w:sz w:val="21"/>
                <w:szCs w:val="21"/>
                <w:lang w:val="en-US" w:eastAsia="zh-CN"/>
              </w:rPr>
              <w:t>9.11.28</w:t>
            </w:r>
            <w:r>
              <w:rPr>
                <w:sz w:val="21"/>
                <w:szCs w:val="21"/>
              </w:rPr>
              <w:t>，符合要求。</w:t>
            </w:r>
          </w:p>
          <w:p>
            <w:pPr>
              <w:rPr>
                <w:rFonts w:hint="eastAsia"/>
                <w:sz w:val="21"/>
                <w:szCs w:val="21"/>
              </w:rPr>
            </w:pPr>
            <w:r>
              <w:rPr>
                <w:sz w:val="21"/>
                <w:szCs w:val="21"/>
              </w:rPr>
              <w:t>体系运行以来，未发生</w:t>
            </w:r>
            <w:r>
              <w:rPr>
                <w:rFonts w:hint="eastAsia"/>
                <w:sz w:val="21"/>
                <w:szCs w:val="21"/>
              </w:rPr>
              <w:t>环境</w:t>
            </w:r>
            <w:r>
              <w:rPr>
                <w:sz w:val="21"/>
                <w:szCs w:val="21"/>
              </w:rPr>
              <w:t>事故，无重大投诉和行政处罚</w:t>
            </w:r>
            <w:r>
              <w:rPr>
                <w:rFonts w:hint="eastAsia"/>
                <w:sz w:val="21"/>
                <w:szCs w:val="21"/>
              </w:rPr>
              <w:t>情况</w:t>
            </w:r>
          </w:p>
          <w:p>
            <w:pPr>
              <w:rPr>
                <w:sz w:val="21"/>
                <w:szCs w:val="21"/>
              </w:rPr>
            </w:pPr>
          </w:p>
          <w:p>
            <w:pPr>
              <w:rPr>
                <w:rFonts w:hint="eastAsia"/>
                <w:sz w:val="21"/>
                <w:szCs w:val="21"/>
              </w:rPr>
            </w:pPr>
            <w:r>
              <w:rPr>
                <w:rFonts w:hint="eastAsia"/>
                <w:sz w:val="21"/>
                <w:szCs w:val="21"/>
              </w:rPr>
              <w:t>第二阶段审核所需资源的配置较充分。</w:t>
            </w:r>
          </w:p>
          <w:p>
            <w:pPr>
              <w:rPr>
                <w:rFonts w:hint="eastAsia"/>
                <w:sz w:val="21"/>
                <w:szCs w:val="21"/>
              </w:rPr>
            </w:pPr>
            <w:r>
              <w:rPr>
                <w:rFonts w:hint="eastAsia"/>
                <w:sz w:val="21"/>
                <w:szCs w:val="21"/>
              </w:rPr>
              <w:t>商定第二阶段审核时间：20</w:t>
            </w:r>
            <w:r>
              <w:rPr>
                <w:rFonts w:hint="eastAsia"/>
                <w:sz w:val="21"/>
                <w:szCs w:val="21"/>
                <w:lang w:val="en-US" w:eastAsia="zh-CN"/>
              </w:rPr>
              <w:t>20</w:t>
            </w:r>
            <w:r>
              <w:rPr>
                <w:rFonts w:hint="eastAsia"/>
                <w:sz w:val="21"/>
                <w:szCs w:val="21"/>
              </w:rPr>
              <w:t>年</w:t>
            </w:r>
            <w:r>
              <w:rPr>
                <w:rFonts w:hint="eastAsia"/>
                <w:sz w:val="21"/>
                <w:szCs w:val="21"/>
                <w:lang w:val="en-US" w:eastAsia="zh-CN"/>
              </w:rPr>
              <w:t>4</w:t>
            </w:r>
            <w:r>
              <w:rPr>
                <w:rFonts w:hint="eastAsia"/>
                <w:sz w:val="21"/>
                <w:szCs w:val="21"/>
              </w:rPr>
              <w:t>月</w:t>
            </w:r>
            <w:r>
              <w:rPr>
                <w:rFonts w:hint="eastAsia"/>
                <w:sz w:val="21"/>
                <w:szCs w:val="21"/>
                <w:lang w:val="en-US" w:eastAsia="zh-CN"/>
              </w:rPr>
              <w:t>14</w:t>
            </w:r>
            <w:r>
              <w:rPr>
                <w:rFonts w:hint="eastAsia"/>
                <w:sz w:val="21"/>
                <w:szCs w:val="21"/>
              </w:rPr>
              <w:t>日</w:t>
            </w:r>
          </w:p>
        </w:tc>
        <w:tc>
          <w:tcPr>
            <w:tcW w:w="692" w:type="dxa"/>
          </w:tcPr>
          <w:p/>
        </w:tc>
      </w:tr>
    </w:tbl>
    <w:p>
      <w:r>
        <w:ptab w:relativeTo="margin" w:alignment="center" w:leader="none"/>
      </w:r>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       负责人</w:t>
            </w:r>
            <w:r>
              <w:rPr>
                <w:rFonts w:hint="eastAsia"/>
                <w:sz w:val="24"/>
                <w:szCs w:val="24"/>
                <w:lang w:eastAsia="zh-CN"/>
              </w:rPr>
              <w:t>：</w:t>
            </w:r>
            <w:r>
              <w:rPr>
                <w:rFonts w:hint="eastAsia"/>
                <w:sz w:val="24"/>
                <w:szCs w:val="24"/>
                <w:lang w:val="en-US" w:eastAsia="zh-CN"/>
              </w:rPr>
              <w:t>耿照华</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2020.4.14</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w:t>
            </w:r>
          </w:p>
        </w:tc>
        <w:tc>
          <w:tcPr>
            <w:tcW w:w="960" w:type="dxa"/>
            <w:noWrap w:val="0"/>
            <w:vAlign w:val="top"/>
          </w:tcPr>
          <w:p>
            <w:pPr>
              <w:rPr>
                <w:rFonts w:hint="eastAsia"/>
                <w:lang w:val="en-US" w:eastAsia="zh-CN"/>
              </w:rPr>
            </w:pPr>
            <w:r>
              <w:rPr>
                <w:rFonts w:hint="eastAsia"/>
                <w:lang w:val="en-US" w:eastAsia="zh-CN"/>
              </w:rPr>
              <w:t>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szCs w:val="22"/>
              </w:rPr>
            </w:pPr>
            <w:r>
              <w:rPr>
                <w:rFonts w:hint="eastAsia"/>
                <w:szCs w:val="22"/>
              </w:rPr>
              <w:t>1.</w:t>
            </w:r>
            <w:r>
              <w:rPr>
                <w:rFonts w:hint="eastAsia"/>
                <w:szCs w:val="22"/>
                <w:lang w:val="en-US" w:eastAsia="zh-CN"/>
              </w:rPr>
              <w:t>环境</w:t>
            </w:r>
            <w:r>
              <w:rPr>
                <w:rFonts w:hint="eastAsia"/>
                <w:szCs w:val="22"/>
              </w:rPr>
              <w:t>管理手册MY/SC-EMS-2019</w:t>
            </w:r>
            <w:r>
              <w:rPr>
                <w:rFonts w:hint="eastAsia"/>
                <w:szCs w:val="22"/>
                <w:lang w:val="en-US" w:eastAsia="zh-CN"/>
              </w:rPr>
              <w:t xml:space="preserve"> </w:t>
            </w:r>
            <w:r>
              <w:rPr>
                <w:rFonts w:hint="eastAsia"/>
                <w:szCs w:val="22"/>
              </w:rPr>
              <w:t>A/0版，2019年</w:t>
            </w:r>
            <w:r>
              <w:rPr>
                <w:rFonts w:hint="eastAsia"/>
                <w:szCs w:val="22"/>
                <w:lang w:val="en-US" w:eastAsia="zh-CN"/>
              </w:rPr>
              <w:t>9</w:t>
            </w:r>
            <w:r>
              <w:rPr>
                <w:rFonts w:hint="eastAsia"/>
                <w:szCs w:val="22"/>
              </w:rPr>
              <w:t>月1日发表实施（含管理方针、目标）</w:t>
            </w:r>
          </w:p>
          <w:p>
            <w:pPr>
              <w:rPr>
                <w:rFonts w:hint="eastAsia"/>
                <w:szCs w:val="22"/>
              </w:rPr>
            </w:pPr>
            <w:r>
              <w:rPr>
                <w:rFonts w:hint="eastAsia"/>
                <w:szCs w:val="22"/>
              </w:rPr>
              <w:t>2.程序文件MY/CX-EMS-2019</w:t>
            </w:r>
            <w:r>
              <w:rPr>
                <w:rFonts w:hint="eastAsia"/>
                <w:szCs w:val="22"/>
                <w:lang w:val="en-US" w:eastAsia="zh-CN"/>
              </w:rPr>
              <w:t xml:space="preserve"> </w:t>
            </w:r>
            <w:r>
              <w:rPr>
                <w:rFonts w:hint="eastAsia"/>
                <w:szCs w:val="22"/>
              </w:rPr>
              <w:t>A/0版，2019年</w:t>
            </w:r>
            <w:r>
              <w:rPr>
                <w:rFonts w:hint="eastAsia"/>
                <w:szCs w:val="22"/>
                <w:lang w:val="en-US" w:eastAsia="zh-CN"/>
              </w:rPr>
              <w:t>9</w:t>
            </w:r>
            <w:r>
              <w:rPr>
                <w:rFonts w:hint="eastAsia"/>
                <w:szCs w:val="22"/>
              </w:rPr>
              <w:t>月1日发表实施，包括标准要求的程序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w:t>
            </w:r>
            <w:bookmarkStart w:id="0" w:name="_GoBack"/>
            <w:bookmarkEnd w:id="0"/>
            <w:r>
              <w:rPr>
                <w:rFonts w:hint="eastAsia"/>
                <w:szCs w:val="22"/>
              </w:rPr>
              <w:t>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rPr>
              <w:t>GB/T24001-2016《环境管理体系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汽车尾气的排放、装卸时噪声排放</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r>
              <w:rPr>
                <w:rFonts w:hint="eastAsia" w:cs="宋体"/>
              </w:rPr>
              <w:t>环境目标指标：</w:t>
            </w:r>
            <w:r>
              <w:rPr>
                <w:rFonts w:hint="eastAsia" w:hAnsi="宋体"/>
              </w:rPr>
              <w:t>固体废弃物分类回收率100%，合理处置。</w:t>
            </w:r>
          </w:p>
          <w:p>
            <w:r>
              <w:rPr>
                <w:rFonts w:hint="eastAsia" w:cs="宋体"/>
              </w:rPr>
              <w:t>管理方案：</w:t>
            </w:r>
            <w:r>
              <w:rPr>
                <w:rFonts w:hint="eastAsia"/>
                <w:sz w:val="21"/>
                <w:szCs w:val="21"/>
              </w:rPr>
              <w:t>1、制作固废分类标识牌</w:t>
            </w:r>
            <w:r>
              <w:rPr>
                <w:rFonts w:hint="eastAsia"/>
                <w:sz w:val="21"/>
                <w:szCs w:val="21"/>
                <w:lang w:eastAsia="zh-CN"/>
              </w:rPr>
              <w:t>；</w:t>
            </w:r>
            <w:r>
              <w:rPr>
                <w:rFonts w:hint="eastAsia"/>
                <w:sz w:val="21"/>
                <w:szCs w:val="21"/>
              </w:rPr>
              <w:t>2、划分固废分类存放区，制作存放容器，在</w:t>
            </w:r>
            <w:r>
              <w:rPr>
                <w:rFonts w:hint="eastAsia"/>
                <w:sz w:val="21"/>
                <w:szCs w:val="21"/>
                <w:lang w:val="en-US" w:eastAsia="zh-CN"/>
              </w:rPr>
              <w:t>库房</w:t>
            </w:r>
            <w:r>
              <w:rPr>
                <w:rFonts w:hint="eastAsia"/>
                <w:sz w:val="21"/>
                <w:szCs w:val="21"/>
              </w:rPr>
              <w:t>、办公、公共场所配置固废分类收集箱</w:t>
            </w:r>
            <w:r>
              <w:rPr>
                <w:rFonts w:hint="eastAsia"/>
                <w:sz w:val="21"/>
                <w:szCs w:val="21"/>
                <w:lang w:eastAsia="zh-CN"/>
              </w:rPr>
              <w:t>；</w:t>
            </w:r>
            <w:r>
              <w:rPr>
                <w:rFonts w:hint="eastAsia"/>
                <w:sz w:val="21"/>
                <w:szCs w:val="21"/>
              </w:rPr>
              <w:t>3、进行固废分类及要求的培训，提高意识熟知要求</w:t>
            </w:r>
            <w:r>
              <w:rPr>
                <w:rFonts w:hint="eastAsia"/>
                <w:sz w:val="21"/>
                <w:szCs w:val="21"/>
                <w:lang w:eastAsia="zh-CN"/>
              </w:rPr>
              <w:t>；</w:t>
            </w:r>
            <w:r>
              <w:rPr>
                <w:rFonts w:hint="eastAsia"/>
                <w:sz w:val="21"/>
                <w:szCs w:val="21"/>
              </w:rPr>
              <w:t>4、每月检查固废分类存放及回收状况</w:t>
            </w:r>
            <w:r>
              <w:rPr>
                <w:rFonts w:hint="eastAsia"/>
                <w:sz w:val="21"/>
                <w:szCs w:val="21"/>
                <w:lang w:eastAsia="zh-CN"/>
              </w:rPr>
              <w:t>；</w:t>
            </w:r>
            <w:r>
              <w:rPr>
                <w:rFonts w:hint="eastAsia"/>
                <w:sz w:val="21"/>
                <w:szCs w:val="21"/>
                <w:lang w:val="en-US" w:eastAsia="zh-CN"/>
              </w:rPr>
              <w:t>5</w:t>
            </w:r>
            <w:r>
              <w:rPr>
                <w:rFonts w:hint="eastAsia" w:cs="宋体"/>
              </w:rPr>
              <w:t>教育员工不随意丢垃圾，加强检查。完成时间：</w:t>
            </w:r>
            <w:r>
              <w:rPr>
                <w:rFonts w:hint="eastAsia"/>
                <w:lang w:val="en-US" w:eastAsia="zh-CN"/>
              </w:rPr>
              <w:t>2019.9-12</w:t>
            </w:r>
            <w:r>
              <w:rPr>
                <w:rFonts w:hint="eastAsia" w:cs="宋体"/>
              </w:rPr>
              <w:t>费用</w:t>
            </w:r>
            <w:r>
              <w:rPr>
                <w:rFonts w:hint="eastAsia" w:cs="宋体"/>
                <w:lang w:val="en-US" w:eastAsia="zh-CN"/>
              </w:rPr>
              <w:t>20</w:t>
            </w:r>
            <w:r>
              <w:t>00</w:t>
            </w:r>
            <w:r>
              <w:rPr>
                <w:rFonts w:hint="eastAsia" w:cs="宋体"/>
              </w:rPr>
              <w:t>元</w:t>
            </w:r>
            <w:r>
              <w:t xml:space="preserve"> </w:t>
            </w:r>
          </w:p>
          <w:p>
            <w:pPr>
              <w:rPr>
                <w:rFonts w:hint="eastAsia" w:eastAsia="宋体"/>
                <w:lang w:eastAsia="zh-CN"/>
              </w:rPr>
            </w:pPr>
            <w:r>
              <w:rPr>
                <w:rFonts w:hint="eastAsia" w:cs="宋体"/>
              </w:rPr>
              <w:t>责任部门：各部门，监控部门：</w:t>
            </w:r>
            <w:r>
              <w:rPr>
                <w:rFonts w:hint="eastAsia" w:cs="宋体"/>
                <w:lang w:val="en-US" w:eastAsia="zh-CN"/>
              </w:rPr>
              <w:t>办公室</w:t>
            </w:r>
          </w:p>
          <w:p>
            <w:r>
              <w:rPr>
                <w:rFonts w:hint="eastAsia"/>
                <w:lang w:val="en-US" w:eastAsia="zh-CN"/>
              </w:rPr>
              <w:t>办公室</w:t>
            </w:r>
            <w:r>
              <w:t>负责编制方案，并监督、验证实施进度。</w:t>
            </w:r>
          </w:p>
          <w:p>
            <w:r>
              <w:t>各部门负责目标、指标与方案的具体实施。</w:t>
            </w:r>
          </w:p>
          <w:p>
            <w:pPr>
              <w:rPr>
                <w:rFonts w:ascii="Times New Roman" w:hAnsi="Times New Roman" w:eastAsia="宋体" w:cs="Times New Roman"/>
                <w:kern w:val="2"/>
                <w:sz w:val="21"/>
                <w:lang w:val="en-US" w:eastAsia="zh-CN" w:bidi="ar-SA"/>
              </w:rPr>
            </w:pPr>
            <w:r>
              <w:t>策划的</w:t>
            </w:r>
            <w:r>
              <w:rPr>
                <w:rFonts w:hint="eastAsia"/>
                <w:lang w:val="en-US" w:eastAsia="zh-CN"/>
              </w:rPr>
              <w:t>环境</w:t>
            </w:r>
            <w:r>
              <w:t>目标指标管理方案</w:t>
            </w:r>
            <w:r>
              <w:rPr>
                <w:rFonts w:hint="eastAsia"/>
              </w:rPr>
              <w:t>基本可行。</w:t>
            </w:r>
          </w:p>
        </w:tc>
        <w:tc>
          <w:tcPr>
            <w:tcW w:w="698" w:type="dxa"/>
            <w:noWrap w:val="0"/>
            <w:vAlign w:val="top"/>
          </w:tcPr>
          <w:p/>
        </w:tc>
      </w:tr>
    </w:tbl>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供销部       负责人</w:t>
            </w:r>
            <w:r>
              <w:rPr>
                <w:rFonts w:hint="eastAsia"/>
                <w:sz w:val="24"/>
                <w:szCs w:val="24"/>
                <w:lang w:eastAsia="zh-CN"/>
              </w:rPr>
              <w:t>：</w:t>
            </w:r>
            <w:r>
              <w:rPr>
                <w:rFonts w:hint="eastAsia"/>
                <w:sz w:val="24"/>
                <w:szCs w:val="24"/>
                <w:lang w:val="en-US" w:eastAsia="zh-CN"/>
              </w:rPr>
              <w:t>马景松</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2020.4.14</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6.1.2/6.2/8.2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汽车尾气的排放、装卸时噪声排放</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环境目标</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pPr>
              <w:rPr>
                <w:rFonts w:hint="eastAsia"/>
                <w:sz w:val="21"/>
                <w:szCs w:val="21"/>
              </w:rPr>
            </w:pPr>
            <w:r>
              <w:rPr>
                <w:rFonts w:hint="eastAsia"/>
                <w:sz w:val="21"/>
                <w:szCs w:val="21"/>
              </w:rPr>
              <w:t>目标、指标和管理方案：</w:t>
            </w:r>
          </w:p>
          <w:p>
            <w:pPr>
              <w:rPr>
                <w:rFonts w:hint="eastAsia"/>
                <w:sz w:val="21"/>
                <w:szCs w:val="21"/>
              </w:rPr>
            </w:pPr>
            <w:r>
              <w:rPr>
                <w:rFonts w:hint="eastAsia"/>
                <w:sz w:val="21"/>
                <w:szCs w:val="21"/>
              </w:rPr>
              <w:t xml:space="preserve">①固废处置率100%                </w:t>
            </w:r>
          </w:p>
          <w:p>
            <w:pPr>
              <w:rPr>
                <w:rFonts w:hint="eastAsia"/>
                <w:sz w:val="21"/>
                <w:szCs w:val="21"/>
              </w:rPr>
            </w:pPr>
            <w:r>
              <w:rPr>
                <w:rFonts w:hint="eastAsia"/>
                <w:sz w:val="21"/>
                <w:szCs w:val="21"/>
              </w:rPr>
              <w:t>②火灾事故为0</w:t>
            </w:r>
          </w:p>
          <w:p>
            <w:pPr>
              <w:rPr>
                <w:rFonts w:ascii="Times New Roman" w:hAnsi="Times New Roman" w:eastAsia="宋体" w:cs="Times New Roman"/>
                <w:kern w:val="2"/>
                <w:sz w:val="21"/>
                <w:lang w:val="en-US" w:eastAsia="zh-CN" w:bidi="ar-SA"/>
              </w:rPr>
            </w:pPr>
            <w:r>
              <w:rPr>
                <w:rFonts w:hint="eastAsia"/>
                <w:sz w:val="21"/>
                <w:szCs w:val="21"/>
              </w:rPr>
              <w:t>公司按要求制定了环境</w:t>
            </w:r>
            <w:r>
              <w:rPr>
                <w:sz w:val="21"/>
                <w:szCs w:val="21"/>
              </w:rPr>
              <w:t>管理者代表</w:t>
            </w:r>
            <w:r>
              <w:rPr>
                <w:rFonts w:hint="eastAsia"/>
                <w:sz w:val="21"/>
                <w:szCs w:val="21"/>
                <w:lang w:eastAsia="zh-CN"/>
              </w:rPr>
              <w:t>，</w:t>
            </w:r>
            <w:r>
              <w:rPr>
                <w:rFonts w:hint="eastAsia"/>
                <w:sz w:val="21"/>
                <w:szCs w:val="21"/>
                <w:lang w:val="en-US" w:eastAsia="zh-CN"/>
              </w:rPr>
              <w:t>并</w:t>
            </w:r>
            <w:r>
              <w:rPr>
                <w:sz w:val="21"/>
                <w:szCs w:val="21"/>
              </w:rPr>
              <w:t>指定专人负责监测和跟踪方案中每一个步骤或措施的实施情况，并定期向管理层汇报方案的运行情况。各部门负责目标、指标与方案的具体实施。策划的环境目标指标管理方案基本可行。</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hint="default" w:eastAsia="宋体"/>
                <w:lang w:val="en-US" w:eastAsia="zh-CN"/>
              </w:rPr>
            </w:pPr>
            <w:r>
              <w:rPr>
                <w:rFonts w:hint="eastAsia"/>
                <w:lang w:val="en-US" w:eastAsia="zh-CN"/>
              </w:rPr>
              <w:t>应急准备和响应</w:t>
            </w:r>
          </w:p>
        </w:tc>
        <w:tc>
          <w:tcPr>
            <w:tcW w:w="960" w:type="dxa"/>
            <w:noWrap w:val="0"/>
            <w:vAlign w:val="top"/>
          </w:tcPr>
          <w:p>
            <w:pPr>
              <w:rPr>
                <w:rFonts w:hint="default"/>
                <w:lang w:val="en-US" w:eastAsia="zh-CN"/>
              </w:rPr>
            </w:pPr>
            <w:r>
              <w:rPr>
                <w:rFonts w:hint="eastAsia"/>
                <w:lang w:val="en-US" w:eastAsia="zh-CN"/>
              </w:rPr>
              <w:t>8.2</w:t>
            </w:r>
          </w:p>
        </w:tc>
        <w:tc>
          <w:tcPr>
            <w:tcW w:w="10891" w:type="dxa"/>
            <w:noWrap w:val="0"/>
            <w:vAlign w:val="top"/>
          </w:tcPr>
          <w:p>
            <w:pPr>
              <w:rPr>
                <w:rFonts w:hint="eastAsia"/>
                <w:sz w:val="21"/>
                <w:szCs w:val="21"/>
              </w:rPr>
            </w:pPr>
            <w:r>
              <w:rPr>
                <w:rFonts w:hint="eastAsia"/>
                <w:sz w:val="21"/>
                <w:szCs w:val="21"/>
              </w:rPr>
              <w:t>策划了《应急准备和响应控制程序》</w:t>
            </w:r>
          </w:p>
          <w:p>
            <w:pPr>
              <w:rPr>
                <w:rFonts w:hint="eastAsia"/>
                <w:sz w:val="21"/>
                <w:szCs w:val="21"/>
              </w:rPr>
            </w:pPr>
            <w:r>
              <w:rPr>
                <w:rFonts w:hint="eastAsia"/>
                <w:sz w:val="21"/>
                <w:szCs w:val="21"/>
              </w:rPr>
              <w:t>提供应急预案：针对包括火灾事故应急预案。</w:t>
            </w:r>
          </w:p>
        </w:tc>
        <w:tc>
          <w:tcPr>
            <w:tcW w:w="698" w:type="dxa"/>
            <w:noWrap w:val="0"/>
            <w:vAlign w:val="top"/>
          </w:tcPr>
          <w:p/>
        </w:tc>
      </w:tr>
    </w:tbl>
    <w:p>
      <w:pPr>
        <w:pStyle w:val="3"/>
        <w:rPr>
          <w:rFonts w:hint="eastAsia"/>
        </w:rPr>
      </w:pPr>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0B4AA9"/>
    <w:rsid w:val="40571425"/>
    <w:rsid w:val="46D76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2020-04-15T09:52:49Z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