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江西顾特乐精藏科技有限公司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伍光华</w:t>
            </w:r>
            <w:r>
              <w:rPr>
                <w:rFonts w:hint="eastAsia"/>
                <w:b/>
                <w:color w:val="000000" w:themeColor="text1"/>
                <w:sz w:val="20"/>
                <w:szCs w:val="20"/>
                <w:lang w:eastAsia="zh-CN"/>
              </w:rPr>
              <w:t>（</w:t>
            </w:r>
            <w:r>
              <w:rPr>
                <w:rFonts w:hint="eastAsia"/>
                <w:b/>
                <w:color w:val="000000" w:themeColor="text1"/>
                <w:sz w:val="20"/>
                <w:szCs w:val="20"/>
                <w:lang w:val="en-US" w:eastAsia="zh-CN"/>
              </w:rPr>
              <w:t>见证人</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23.01.01,29.12.00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文波</w:t>
            </w:r>
            <w:r>
              <w:rPr>
                <w:rFonts w:hint="eastAsia"/>
                <w:b/>
                <w:color w:val="000000" w:themeColor="text1"/>
                <w:sz w:val="20"/>
                <w:szCs w:val="20"/>
                <w:lang w:eastAsia="zh-CN"/>
              </w:rPr>
              <w:t>（</w:t>
            </w:r>
            <w:r>
              <w:rPr>
                <w:rFonts w:hint="eastAsia"/>
                <w:b/>
                <w:color w:val="000000" w:themeColor="text1"/>
                <w:sz w:val="20"/>
                <w:szCs w:val="20"/>
                <w:lang w:val="en-US" w:eastAsia="zh-CN"/>
              </w:rPr>
              <w:t>被见证人</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23.01.01,29.12.00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GB/T45001—2020/ISO 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江西顾特乐精藏科技有限公司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江西省宜春市樟树市张家山工业园十号路东侧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江西省宜春市樟树市共和东路129号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13517055733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汪长虹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汪长虹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杨蓉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骨灰盒存放架(福寿架)的设计、生产；水晶棺、太平柜的销售及其所涉及的环境管理活动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23.01.01;29.12.00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2017-12-01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生产过程组织、生产设备、生产安全控制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文件管理、沟通、体系运行内审、外审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原材料、产品过程、出厂检验，测量设备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采购、销售、顾客满意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ind w:firstLine="2391" w:firstLineChars="1400"/>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资金上的支持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骨灰盒存放架(福寿架)的设计、生产；水晶棺、太平柜的销售及其所涉及的</w:t>
            </w:r>
            <w:r>
              <w:rPr>
                <w:rFonts w:hint="eastAsia"/>
                <w:sz w:val="20"/>
                <w:lang w:val="en-US" w:eastAsia="zh-CN"/>
              </w:rPr>
              <w:t>职业健康安全</w:t>
            </w:r>
            <w:r>
              <w:rPr>
                <w:sz w:val="20"/>
              </w:rPr>
              <w:t>管理活动</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GB/T3325-2017金属家具通用技术条件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2</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31680"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360" w:lineRule="auto"/>
              <w:ind w:firstLine="480" w:firstLineChars="200"/>
              <w:rPr>
                <w:rFonts w:hint="eastAsia" w:ascii="宋体" w:hAnsi="宋体"/>
                <w:spacing w:val="20"/>
                <w:sz w:val="20"/>
                <w:szCs w:val="20"/>
                <w:lang w:val="de-DE"/>
              </w:rPr>
            </w:pPr>
            <w:r>
              <w:rPr>
                <w:rFonts w:hint="eastAsia" w:ascii="宋体" w:hAnsi="宋体"/>
                <w:spacing w:val="20"/>
                <w:sz w:val="20"/>
                <w:szCs w:val="20"/>
                <w:lang w:val="de-DE"/>
              </w:rPr>
              <w:t>江西顾特乐精藏科技有限公司位于古今闻名遐迩的药都——樟树市洋湖乡工业园，比邻105国道、赣粤、沪瑞高速公路，浙赣、京九铁路贯穿市区，交通便利，四通八达。公司规模大，起点高，设备先进，标准化作业流水线。形成了制度人性化、管理科学化，生产规模化，产品系列化，销售网络化。</w:t>
            </w:r>
          </w:p>
          <w:p>
            <w:pPr>
              <w:spacing w:line="360" w:lineRule="auto"/>
              <w:ind w:firstLine="480" w:firstLineChars="200"/>
              <w:rPr>
                <w:rFonts w:hint="eastAsia" w:ascii="宋体" w:hAnsi="宋体"/>
                <w:spacing w:val="20"/>
                <w:sz w:val="20"/>
                <w:szCs w:val="20"/>
                <w:lang w:val="de-DE"/>
              </w:rPr>
            </w:pPr>
            <w:r>
              <w:rPr>
                <w:rFonts w:hint="eastAsia" w:ascii="宋体" w:hAnsi="宋体"/>
                <w:spacing w:val="20"/>
                <w:sz w:val="20"/>
                <w:szCs w:val="20"/>
                <w:lang w:val="de-DE"/>
              </w:rPr>
              <w:t>江西顾特乐精藏科技有限公司主导产品有“顾特乐”牌骨灰盒、及骨灰存放架、冰棺等三大系列上百个品种，产品已获得多项国家专利，良好的信誉、一流的质量、周到的服务是“顾特乐”的风格，产品售前、售中、售后全程服务的快捷和优质,确保顾客的需求和期望得到完美体现。奋进中的“顾特乐”，愿以高品位的产品，一流的服务，在改革和发展的道路上与市场共发展，与客户共成长，与社会共进步、我们的服务宗旨是顾客的满意是我们最大快乐。</w:t>
            </w:r>
          </w:p>
          <w:p>
            <w:pPr>
              <w:snapToGrid w:val="0"/>
              <w:ind w:firstLine="400" w:firstLineChars="200"/>
              <w:rPr>
                <w:rFonts w:ascii="宋体" w:hAnsi="宋体"/>
                <w:sz w:val="20"/>
                <w:szCs w:val="20"/>
                <w:lang w:val="en-GB"/>
              </w:rPr>
            </w:pPr>
            <w:r>
              <w:rPr>
                <w:rFonts w:hint="eastAsia" w:ascii="宋体" w:hAnsi="宋体"/>
                <w:sz w:val="20"/>
                <w:szCs w:val="20"/>
                <w:lang w:val="en-GB"/>
              </w:rPr>
              <w:t>为了开拓国内市场，我们逐步安排了专业销售员多名，落脚在全国各地，建立办事机构，销售和维护产品的长期使用。</w:t>
            </w:r>
            <w:r>
              <w:rPr>
                <w:rFonts w:ascii="宋体" w:hAnsi="宋体"/>
                <w:sz w:val="20"/>
                <w:szCs w:val="20"/>
                <w:lang w:val="en-GB"/>
              </w:rPr>
              <w:t xml:space="preserve"> </w:t>
            </w:r>
          </w:p>
          <w:p>
            <w:pPr>
              <w:ind w:firstLine="400" w:firstLineChars="200"/>
              <w:rPr>
                <w:rFonts w:ascii="宋体" w:cs="宋体"/>
                <w:sz w:val="20"/>
                <w:szCs w:val="20"/>
              </w:rPr>
            </w:pPr>
            <w:r>
              <w:rPr>
                <w:rFonts w:hint="eastAsia" w:ascii="宋体" w:hAnsi="宋体" w:cs="宋体"/>
                <w:sz w:val="20"/>
                <w:szCs w:val="20"/>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kern w:val="2"/>
                <w:sz w:val="20"/>
                <w:szCs w:val="20"/>
              </w:rPr>
            </w:pPr>
            <w:r>
              <w:rPr>
                <w:rFonts w:hint="eastAsia" w:hAnsi="宋体" w:cs="宋体"/>
                <w:kern w:val="2"/>
                <w:sz w:val="20"/>
                <w:szCs w:val="20"/>
              </w:rPr>
              <w:t>在公司运营过程中充分考虑相关方方面的期望或要求，识别的相关方有：</w:t>
            </w:r>
            <w:r>
              <w:rPr>
                <w:rFonts w:hint="eastAsia" w:hAnsi="宋体"/>
                <w:kern w:val="2"/>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市场</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b/>
                <w:color w:val="000000"/>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00" w:firstLineChars="200"/>
              <w:rPr>
                <w:rFonts w:hint="eastAsia" w:ascii="宋体" w:hAnsi="宋体"/>
                <w:spacing w:val="20"/>
                <w:sz w:val="20"/>
                <w:szCs w:val="20"/>
              </w:rPr>
            </w:pPr>
            <w:r>
              <w:rPr>
                <w:rFonts w:hint="eastAsia" w:ascii="宋体" w:hAnsi="宋体" w:cs="宋体"/>
                <w:sz w:val="20"/>
                <w:szCs w:val="20"/>
              </w:rPr>
              <w:t>公司职业健康安全管理方针是：</w:t>
            </w:r>
            <w:r>
              <w:rPr>
                <w:rFonts w:hint="eastAsia" w:ascii="宋体" w:hAnsi="宋体"/>
                <w:spacing w:val="20"/>
                <w:sz w:val="20"/>
                <w:szCs w:val="20"/>
              </w:rPr>
              <w:t xml:space="preserve">质量至上、持续创新、诚实守信、顾客至上 </w:t>
            </w:r>
          </w:p>
          <w:p>
            <w:pPr>
              <w:spacing w:line="400" w:lineRule="exact"/>
              <w:ind w:firstLine="3120" w:firstLineChars="1300"/>
              <w:rPr>
                <w:rFonts w:hint="eastAsia" w:ascii="宋体" w:hAnsi="宋体"/>
                <w:spacing w:val="20"/>
                <w:sz w:val="20"/>
                <w:szCs w:val="20"/>
              </w:rPr>
            </w:pPr>
            <w:r>
              <w:rPr>
                <w:rFonts w:hint="eastAsia" w:ascii="宋体" w:hAnsi="宋体"/>
                <w:spacing w:val="20"/>
                <w:sz w:val="20"/>
                <w:szCs w:val="20"/>
              </w:rPr>
              <w:t>预防为主，降低风险；遵章守法，创造和谐</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31680" w:hanging="210" w:hangingChars="100"/>
              <w:rPr>
                <w:rFonts w:ascii="宋体"/>
                <w:b/>
                <w:color w:val="000000"/>
                <w:sz w:val="20"/>
                <w:szCs w:val="20"/>
              </w:rPr>
            </w:pPr>
            <w:r>
              <w:pict>
                <v:shape id="_x0000_s2050" o:spid="_x0000_s2050" o:spt="32" type="#_x0000_t32" style="position:absolute;left:0pt;margin-left:157.9pt;margin-top:12.75pt;height:0pt;width:261.75pt;z-index:251658240;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beforeLines="5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ascii="宋体" w:cs="宋体"/>
                <w:bCs/>
                <w:szCs w:val="21"/>
              </w:rPr>
            </w:pPr>
            <w:r>
              <w:rPr>
                <w:rFonts w:hint="eastAsia" w:ascii="宋体" w:hAnsi="宋体" w:cs="宋体"/>
                <w:bCs/>
                <w:szCs w:val="21"/>
              </w:rPr>
              <w:t>查到《危险源辨识与评价一览表》，内容有：作业活动名称、潜在危险因素、时态、状态、可导致事故、可采取控制措施、危险发生的可能性</w:t>
            </w:r>
            <w:r>
              <w:rPr>
                <w:rFonts w:ascii="宋体" w:hAnsi="宋体" w:cs="宋体"/>
                <w:bCs/>
                <w:szCs w:val="21"/>
              </w:rPr>
              <w:t>L</w:t>
            </w:r>
            <w:r>
              <w:rPr>
                <w:rFonts w:hint="eastAsia" w:ascii="宋体" w:hAnsi="宋体" w:cs="宋体"/>
                <w:bCs/>
                <w:szCs w:val="21"/>
              </w:rPr>
              <w:t>、损失后果</w:t>
            </w:r>
            <w:r>
              <w:rPr>
                <w:rFonts w:ascii="宋体" w:hAnsi="宋体" w:cs="宋体"/>
                <w:bCs/>
                <w:szCs w:val="21"/>
              </w:rPr>
              <w:t>C</w:t>
            </w:r>
            <w:r>
              <w:rPr>
                <w:rFonts w:hint="eastAsia" w:ascii="宋体" w:hAnsi="宋体" w:cs="宋体"/>
                <w:bCs/>
                <w:szCs w:val="21"/>
              </w:rPr>
              <w:t>、频繁程度</w:t>
            </w:r>
            <w:r>
              <w:rPr>
                <w:rFonts w:ascii="宋体" w:hAnsi="宋体" w:cs="宋体"/>
                <w:bCs/>
                <w:szCs w:val="21"/>
              </w:rPr>
              <w:t>E</w:t>
            </w:r>
            <w:r>
              <w:rPr>
                <w:rFonts w:hint="eastAsia" w:ascii="宋体" w:hAnsi="宋体" w:cs="宋体"/>
                <w:bCs/>
                <w:szCs w:val="21"/>
              </w:rPr>
              <w:t>、等。识别出生产部、办公室危险源有：触电、火灾、机械伤害、听力损害、中毒、职业病、人身伤害等。优先控制风险采用“</w:t>
            </w:r>
            <w:r>
              <w:rPr>
                <w:rFonts w:ascii="宋体" w:hAnsi="宋体" w:cs="宋体"/>
                <w:bCs/>
                <w:szCs w:val="21"/>
              </w:rPr>
              <w:t>LEC</w:t>
            </w:r>
            <w:r>
              <w:rPr>
                <w:rFonts w:hint="eastAsia" w:ascii="宋体" w:hAnsi="宋体" w:cs="宋体"/>
                <w:bCs/>
                <w:szCs w:val="21"/>
              </w:rPr>
              <w:t>”方法进行评价。提供《不可接受风险清单》有：火灾触电</w:t>
            </w:r>
            <w:r>
              <w:rPr>
                <w:rFonts w:hint="eastAsia" w:ascii="宋体" w:hAnsi="宋体" w:cs="宋体"/>
                <w:bCs/>
                <w:szCs w:val="21"/>
                <w:lang w:eastAsia="zh-CN"/>
              </w:rPr>
              <w:t>、</w:t>
            </w:r>
            <w:r>
              <w:rPr>
                <w:rFonts w:hint="eastAsia" w:ascii="宋体" w:hAnsi="宋体" w:cs="宋体"/>
                <w:bCs/>
                <w:szCs w:val="21"/>
                <w:lang w:val="en-US" w:eastAsia="zh-CN"/>
              </w:rPr>
              <w:t>机械伤害、职业病</w:t>
            </w:r>
            <w:r>
              <w:rPr>
                <w:rFonts w:hint="eastAsia" w:ascii="宋体" w:hAnsi="宋体" w:cs="宋体"/>
                <w:bCs/>
                <w:szCs w:val="21"/>
              </w:rPr>
              <w:t>，并制定有控制措施。</w:t>
            </w:r>
          </w:p>
          <w:p>
            <w:pPr>
              <w:spacing w:line="300" w:lineRule="exact"/>
              <w:rPr>
                <w:b/>
                <w:color w:val="000000"/>
                <w:sz w:val="20"/>
                <w:szCs w:val="20"/>
              </w:rPr>
            </w:pPr>
            <w:r>
              <w:rPr>
                <w:rFonts w:hint="eastAsia" w:ascii="宋体" w:hAnsi="宋体" w:cs="宋体"/>
                <w:bCs/>
                <w:szCs w:val="21"/>
              </w:rPr>
              <w:t>评价人员：汪晓虹、李腊根、杨蓉、陈建华、李刚   时间：2020年1月7日。以上危险源识别基本全面、无遗漏，评价基本合理。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31680"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服务□环境因素</w:t>
            </w:r>
            <w:r>
              <w:rPr>
                <w:rFonts w:hint="eastAsia" w:ascii="宋体" w:hAnsi="Calibri" w:cs="宋体"/>
                <w:color w:val="000000"/>
                <w:kern w:val="0"/>
                <w:sz w:val="20"/>
                <w:szCs w:val="20"/>
              </w:rPr>
              <w:t>■</w:t>
            </w:r>
            <w:r>
              <w:rPr>
                <w:rFonts w:hint="eastAsia" w:ascii="宋体" w:hAnsi="宋体"/>
                <w:b/>
                <w:color w:val="000000"/>
                <w:szCs w:val="21"/>
              </w:rPr>
              <w:t>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400" w:lineRule="exact"/>
              <w:ind w:left="862"/>
              <w:rPr>
                <w:rFonts w:hint="eastAsia" w:ascii="宋体" w:hAnsi="宋体"/>
                <w:color w:val="auto"/>
                <w:spacing w:val="20"/>
                <w:sz w:val="20"/>
                <w:szCs w:val="20"/>
              </w:rPr>
            </w:pPr>
            <w:r>
              <w:rPr>
                <w:rFonts w:hint="eastAsia" w:ascii="宋体" w:hAnsi="宋体"/>
                <w:szCs w:val="21"/>
              </w:rPr>
              <w:t>目标：</w:t>
            </w:r>
            <w:r>
              <w:rPr>
                <w:rFonts w:hint="eastAsia" w:ascii="宋体" w:hAnsi="宋体"/>
                <w:color w:val="auto"/>
                <w:spacing w:val="20"/>
                <w:sz w:val="20"/>
                <w:szCs w:val="20"/>
              </w:rPr>
              <w:t>重大火灾事故为零；</w:t>
            </w:r>
          </w:p>
          <w:p>
            <w:pPr>
              <w:rPr>
                <w:rFonts w:hint="eastAsia" w:ascii="宋体" w:hAnsi="宋体"/>
                <w:color w:val="auto"/>
                <w:spacing w:val="20"/>
                <w:sz w:val="20"/>
                <w:szCs w:val="20"/>
              </w:rPr>
            </w:pPr>
            <w:r>
              <w:rPr>
                <w:rFonts w:hint="eastAsia" w:ascii="宋体" w:hAnsi="宋体"/>
                <w:color w:val="auto"/>
                <w:spacing w:val="20"/>
                <w:sz w:val="20"/>
                <w:szCs w:val="20"/>
              </w:rPr>
              <w:t xml:space="preserve"> </w:t>
            </w:r>
            <w:r>
              <w:rPr>
                <w:rFonts w:hint="eastAsia" w:ascii="宋体" w:hAnsi="宋体"/>
                <w:color w:val="auto"/>
                <w:spacing w:val="20"/>
                <w:sz w:val="20"/>
                <w:szCs w:val="20"/>
                <w:lang w:val="en-US" w:eastAsia="zh-CN"/>
              </w:rPr>
              <w:t xml:space="preserve">         </w:t>
            </w:r>
            <w:r>
              <w:rPr>
                <w:rFonts w:hint="eastAsia" w:ascii="宋体" w:hAnsi="宋体"/>
                <w:color w:val="auto"/>
                <w:spacing w:val="20"/>
                <w:sz w:val="20"/>
                <w:szCs w:val="20"/>
              </w:rPr>
              <w:t>职业病发病率为零；</w:t>
            </w:r>
          </w:p>
          <w:p>
            <w:pPr>
              <w:rPr>
                <w:rFonts w:hint="eastAsia" w:ascii="宋体" w:hAnsi="宋体"/>
                <w:color w:val="FF0000"/>
                <w:spacing w:val="20"/>
                <w:sz w:val="24"/>
              </w:rPr>
            </w:pPr>
            <w:r>
              <w:rPr>
                <w:rFonts w:hint="eastAsia" w:ascii="宋体" w:hAnsi="宋体"/>
                <w:color w:val="auto"/>
                <w:spacing w:val="20"/>
                <w:sz w:val="20"/>
                <w:szCs w:val="20"/>
              </w:rPr>
              <w:t xml:space="preserve">  </w:t>
            </w:r>
            <w:r>
              <w:rPr>
                <w:rFonts w:hint="eastAsia" w:ascii="宋体" w:hAnsi="宋体"/>
                <w:color w:val="auto"/>
                <w:spacing w:val="20"/>
                <w:sz w:val="20"/>
                <w:szCs w:val="20"/>
                <w:lang w:val="en-US" w:eastAsia="zh-CN"/>
              </w:rPr>
              <w:t xml:space="preserve">        员工重大责任伤亡率为0</w:t>
            </w:r>
            <w:r>
              <w:rPr>
                <w:rFonts w:hint="eastAsia" w:ascii="宋体" w:hAnsi="宋体"/>
                <w:color w:val="auto"/>
                <w:spacing w:val="20"/>
                <w:sz w:val="20"/>
                <w:szCs w:val="20"/>
              </w:rPr>
              <w:t>；</w:t>
            </w:r>
          </w:p>
          <w:p>
            <w:pPr>
              <w:spacing w:line="360" w:lineRule="auto"/>
              <w:ind w:firstLine="420" w:firstLineChars="200"/>
              <w:rPr>
                <w:rFonts w:ascii="宋体" w:cs="宋体"/>
                <w:szCs w:val="21"/>
              </w:rPr>
            </w:pPr>
            <w:r>
              <w:rPr>
                <w:rFonts w:hint="eastAsia" w:ascii="宋体" w:hAnsi="宋体" w:cs="宋体"/>
                <w:szCs w:val="21"/>
              </w:rPr>
              <w:t>与方针一致，符合公司总的职业健康安全目标，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rPr>
              <w:t>生产部</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left="840" w:leftChars="400" w:firstLine="1260" w:firstLineChars="600"/>
              <w:rPr>
                <w:rFonts w:hint="eastAsia" w:ascii="宋体" w:hAnsi="宋体" w:eastAsia="宋体" w:cs="宋体"/>
                <w:spacing w:val="20"/>
                <w:sz w:val="20"/>
                <w:szCs w:val="20"/>
              </w:rPr>
            </w:pPr>
            <w:r>
              <w:rPr>
                <w:rFonts w:hint="eastAsia" w:ascii="宋体" w:hAnsi="宋体" w:cs="宋体"/>
                <w:szCs w:val="21"/>
              </w:rPr>
              <w:t>受审核方建立的管理体系文件包括：管理手册</w:t>
            </w:r>
            <w:r>
              <w:rPr>
                <w:rFonts w:hint="eastAsia" w:ascii="宋体" w:hAnsi="宋体" w:eastAsia="宋体" w:cs="宋体"/>
                <w:sz w:val="20"/>
                <w:szCs w:val="20"/>
                <w:lang w:eastAsia="zh-CN"/>
              </w:rPr>
              <w:t>GTL</w:t>
            </w:r>
            <w:r>
              <w:rPr>
                <w:rFonts w:hint="eastAsia" w:ascii="宋体" w:hAnsi="宋体" w:eastAsia="宋体" w:cs="宋体"/>
                <w:sz w:val="20"/>
                <w:szCs w:val="20"/>
              </w:rPr>
              <w:t>-SC-2019</w:t>
            </w:r>
          </w:p>
          <w:p>
            <w:pPr>
              <w:numPr>
                <w:ilvl w:val="0"/>
                <w:numId w:val="0"/>
              </w:numPr>
              <w:rPr>
                <w:rFonts w:ascii="宋体" w:cs="宋体"/>
                <w:szCs w:val="21"/>
              </w:rPr>
            </w:pPr>
            <w:r>
              <w:rPr>
                <w:rFonts w:hint="eastAsia" w:ascii="黑体" w:eastAsia="黑体"/>
                <w:bCs/>
                <w:sz w:val="28"/>
                <w:szCs w:val="28"/>
                <w:lang w:val="en-US" w:eastAsia="zh-CN"/>
              </w:rPr>
              <w:t>1、C</w:t>
            </w:r>
            <w:r>
              <w:rPr>
                <w:rFonts w:ascii="宋体" w:hAnsi="宋体"/>
                <w:spacing w:val="20"/>
                <w:szCs w:val="21"/>
              </w:rPr>
              <w:t>/0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12</w:t>
            </w:r>
            <w:r>
              <w:rPr>
                <w:rFonts w:ascii="宋体" w:hAnsi="宋体" w:cs="宋体"/>
                <w:szCs w:val="21"/>
              </w:rPr>
              <w:t xml:space="preserve">.2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12</w:t>
            </w:r>
            <w:r>
              <w:rPr>
                <w:rFonts w:ascii="宋体" w:hAnsi="宋体" w:cs="宋体"/>
                <w:szCs w:val="21"/>
              </w:rPr>
              <w:t xml:space="preserve">.2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26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行政部</w:t>
            </w:r>
            <w:r>
              <w:rPr>
                <w:rFonts w:hint="eastAsia"/>
              </w:rPr>
              <w:t>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行政部</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行政部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骨灰盒存放架(福寿架)的设计、生产；水晶棺、太平柜的销售</w:t>
            </w:r>
            <w:r>
              <w:rPr>
                <w:rFonts w:hint="eastAsia" w:ascii="宋体" w:hAnsi="宋体"/>
                <w:szCs w:val="21"/>
              </w:rPr>
              <w:t>：生产、销售</w:t>
            </w:r>
            <w:r>
              <w:rPr>
                <w:rFonts w:hint="eastAsia" w:ascii="宋体" w:hAnsi="宋体" w:cs="宋体"/>
                <w:szCs w:val="21"/>
              </w:rPr>
              <w:t>服务人员：技术人员均为大专或以上学历、试验室人员持有操作作业证书、上岗前经过岗前培训，销售人员及生产人员均经过专业培训。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szCs w:val="21"/>
              </w:rPr>
              <w:t>剪板机</w:t>
            </w:r>
            <w:r>
              <w:rPr>
                <w:rFonts w:hint="eastAsia" w:ascii="宋体" w:hAnsi="宋体" w:cs="宋体"/>
                <w:szCs w:val="21"/>
              </w:rPr>
              <w:t>、</w:t>
            </w:r>
            <w:r>
              <w:rPr>
                <w:rFonts w:hint="eastAsia" w:ascii="宋体" w:hAnsi="宋体"/>
                <w:szCs w:val="21"/>
              </w:rPr>
              <w:t>压力机</w:t>
            </w:r>
            <w:r>
              <w:rPr>
                <w:rFonts w:hint="eastAsia" w:ascii="宋体" w:hAnsi="宋体" w:cs="宋体"/>
                <w:szCs w:val="21"/>
              </w:rPr>
              <w:t>、</w:t>
            </w:r>
            <w:r>
              <w:rPr>
                <w:rFonts w:hint="eastAsia" w:ascii="宋体" w:hAnsi="宋体"/>
                <w:szCs w:val="21"/>
              </w:rPr>
              <w:t>折弯机</w:t>
            </w:r>
            <w:r>
              <w:rPr>
                <w:rFonts w:hint="eastAsia" w:ascii="宋体" w:hAnsi="宋体" w:cs="宋体"/>
                <w:szCs w:val="21"/>
              </w:rPr>
              <w:t>、</w:t>
            </w:r>
            <w:r>
              <w:rPr>
                <w:rFonts w:hint="eastAsia" w:ascii="宋体" w:hAnsi="宋体"/>
                <w:szCs w:val="21"/>
              </w:rPr>
              <w:t>空气压缩机</w:t>
            </w:r>
            <w:r>
              <w:rPr>
                <w:rFonts w:hint="eastAsia" w:ascii="宋体" w:hAnsi="宋体" w:cs="宋体"/>
                <w:szCs w:val="21"/>
              </w:rPr>
              <w:t>、</w:t>
            </w:r>
            <w:r>
              <w:rPr>
                <w:rFonts w:hint="eastAsia" w:ascii="宋体" w:hAnsi="宋体"/>
                <w:szCs w:val="21"/>
              </w:rPr>
              <w:t>铝合金切割机</w:t>
            </w:r>
            <w:r>
              <w:rPr>
                <w:rFonts w:hint="eastAsia" w:ascii="宋体" w:hAnsi="宋体" w:cs="宋体"/>
                <w:szCs w:val="21"/>
              </w:rPr>
              <w:t>、</w:t>
            </w:r>
            <w:r>
              <w:rPr>
                <w:rFonts w:hint="eastAsia" w:ascii="宋体" w:hAnsi="宋体"/>
                <w:szCs w:val="21"/>
              </w:rPr>
              <w:t>电焊机</w:t>
            </w:r>
            <w:r>
              <w:rPr>
                <w:rFonts w:hint="eastAsia" w:ascii="宋体" w:hAnsi="宋体" w:cs="宋体"/>
                <w:szCs w:val="21"/>
              </w:rPr>
              <w:t>、</w:t>
            </w:r>
            <w:r>
              <w:rPr>
                <w:rFonts w:hint="eastAsia" w:ascii="宋体" w:hAnsi="宋体"/>
                <w:szCs w:val="21"/>
              </w:rPr>
              <w:t>全自动喷涂流水线</w:t>
            </w:r>
            <w:r>
              <w:rPr>
                <w:rFonts w:hint="eastAsia" w:ascii="宋体" w:hAnsi="宋体" w:cs="宋体"/>
                <w:szCs w:val="21"/>
              </w:rPr>
              <w:t>、</w:t>
            </w:r>
            <w:r>
              <w:rPr>
                <w:rFonts w:hint="eastAsia" w:ascii="宋体" w:hAnsi="宋体"/>
                <w:szCs w:val="21"/>
              </w:rPr>
              <w:t>烤箱</w:t>
            </w:r>
            <w:r>
              <w:rPr>
                <w:rFonts w:hint="eastAsia" w:ascii="宋体" w:hAnsi="宋体" w:cs="宋体"/>
                <w:szCs w:val="21"/>
              </w:rPr>
              <w:t>、</w:t>
            </w:r>
            <w:r>
              <w:rPr>
                <w:rFonts w:hint="eastAsia" w:ascii="宋体" w:hAnsi="宋体"/>
                <w:szCs w:val="21"/>
              </w:rPr>
              <w:t>行车</w:t>
            </w:r>
            <w:r>
              <w:rPr>
                <w:rFonts w:hint="eastAsia" w:ascii="宋体" w:hAnsi="宋体" w:cs="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ind w:firstLine="31680"/>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ind w:firstLine="31680"/>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ind w:firstLine="31680"/>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ind w:firstLine="31680"/>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b/>
                <w:color w:val="000000"/>
                <w:szCs w:val="21"/>
              </w:rPr>
            </w:pPr>
            <w:r>
              <w:rPr>
                <w:rFonts w:hint="eastAsia" w:ascii="宋体" w:hAnsi="宋体" w:cs="宋体"/>
                <w:kern w:val="0"/>
                <w:szCs w:val="21"/>
              </w:rPr>
              <w:t>无安全监视和测量资源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300" w:lineRule="exact"/>
              <w:ind w:left="1"/>
              <w:rPr>
                <w:b/>
                <w:color w:val="000000"/>
                <w:sz w:val="20"/>
                <w:szCs w:val="20"/>
              </w:rPr>
            </w:pPr>
            <w:r>
              <w:rPr>
                <w:rFonts w:hint="eastAsia" w:ascii="宋体" w:hAnsi="宋体"/>
                <w:szCs w:val="22"/>
                <w:u w:val="single"/>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w:t>
            </w:r>
            <w:r>
              <w:rPr>
                <w:rFonts w:hint="eastAsia" w:ascii="宋体" w:hAnsi="宋体" w:cs="宋体"/>
                <w:szCs w:val="21"/>
                <w:lang w:val="en-US" w:eastAsia="zh-CN"/>
              </w:rPr>
              <w:t>市场部</w:t>
            </w:r>
            <w:r>
              <w:rPr>
                <w:rFonts w:hint="eastAsia" w:ascii="宋体" w:hAnsi="宋体" w:cs="宋体"/>
                <w:szCs w:val="21"/>
              </w:rPr>
              <w:t>负责与采购供方、客户等相关方之间的沟通。各部门收集到有关职业健康安全方面的信息，包括法律法规等，及时向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市场</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李刚</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李刚</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rPr>
                <w:rFonts w:ascii="宋体" w:cs="宋体"/>
                <w:bCs/>
                <w:szCs w:val="21"/>
              </w:rPr>
            </w:pPr>
            <w:r>
              <w:rPr>
                <w:rFonts w:hint="eastAsia" w:ascii="宋体" w:hAnsi="宋体" w:cs="宋体"/>
                <w:bCs/>
                <w:szCs w:val="21"/>
              </w:rPr>
              <w:t>火灾事故预防：公司配备有灭火器等消防设施，有应急预案，相关人员经过培训。</w:t>
            </w:r>
          </w:p>
          <w:p>
            <w:pPr>
              <w:rPr>
                <w:rFonts w:ascii="宋体" w:cs="宋体"/>
                <w:bCs/>
                <w:szCs w:val="21"/>
              </w:rPr>
            </w:pPr>
            <w:r>
              <w:rPr>
                <w:rFonts w:hint="eastAsia" w:ascii="宋体" w:hAnsi="宋体" w:cs="宋体"/>
                <w:bCs/>
                <w:szCs w:val="21"/>
              </w:rPr>
              <w:t>触电：公司专人负责对电箱进行检查和维保，电气线路防护，措施到位。</w:t>
            </w:r>
          </w:p>
          <w:p>
            <w:pPr>
              <w:rPr>
                <w:rFonts w:ascii="宋体" w:cs="宋体"/>
                <w:bCs/>
                <w:szCs w:val="21"/>
              </w:rPr>
            </w:pPr>
            <w:r>
              <w:rPr>
                <w:rFonts w:hint="eastAsia" w:ascii="宋体" w:hAnsi="宋体" w:cs="宋体"/>
                <w:bCs/>
                <w:szCs w:val="21"/>
              </w:rPr>
              <w:t>机械伤害：车间悬挂操作规程，人员经过培训，设备定期保养</w:t>
            </w:r>
          </w:p>
          <w:p>
            <w:pPr>
              <w:rPr>
                <w:rFonts w:hint="eastAsia" w:ascii="宋体" w:hAnsi="宋体" w:cs="宋体"/>
                <w:bCs/>
                <w:szCs w:val="21"/>
                <w:lang w:val="en-US" w:eastAsia="zh-CN"/>
              </w:rPr>
            </w:pPr>
            <w:r>
              <w:rPr>
                <w:rFonts w:hint="eastAsia" w:ascii="宋体" w:hAnsi="宋体" w:cs="宋体"/>
                <w:bCs/>
                <w:szCs w:val="21"/>
                <w:lang w:val="en-US" w:eastAsia="zh-CN"/>
              </w:rPr>
              <w:t>职业病</w:t>
            </w:r>
            <w:r>
              <w:rPr>
                <w:rFonts w:hint="eastAsia" w:ascii="宋体" w:hAnsi="宋体" w:cs="宋体"/>
                <w:bCs/>
                <w:szCs w:val="21"/>
              </w:rPr>
              <w:t>：</w:t>
            </w:r>
            <w:r>
              <w:rPr>
                <w:rFonts w:hint="eastAsia" w:ascii="宋体" w:hAnsi="宋体" w:cs="宋体"/>
                <w:bCs/>
                <w:szCs w:val="21"/>
                <w:lang w:val="en-US" w:eastAsia="zh-CN"/>
              </w:rPr>
              <w:t>相关人员按要求佩带防护用品，防止职业病的发生</w:t>
            </w:r>
          </w:p>
          <w:p>
            <w:pPr>
              <w:rPr>
                <w:rFonts w:ascii="宋体" w:cs="宋体"/>
                <w:bCs/>
                <w:szCs w:val="21"/>
              </w:rPr>
            </w:pPr>
            <w:r>
              <w:rPr>
                <w:rFonts w:hint="eastAsia" w:ascii="宋体" w:hAnsi="宋体" w:cs="宋体"/>
                <w:bCs/>
                <w:szCs w:val="21"/>
              </w:rPr>
              <w:t>提供人员社保清单：</w:t>
            </w:r>
          </w:p>
          <w:p>
            <w:pPr>
              <w:rPr>
                <w:rFonts w:ascii="宋体" w:cs="宋体"/>
                <w:bCs/>
                <w:szCs w:val="21"/>
              </w:rPr>
            </w:pPr>
            <w:r>
              <w:rPr>
                <w:rFonts w:hint="eastAsia" w:ascii="宋体" w:hAnsi="宋体" w:cs="宋体"/>
                <w:bCs/>
                <w:szCs w:val="21"/>
              </w:rPr>
              <w:t>公司制定了安全生产责任制，制定了安全目标考核制定</w:t>
            </w:r>
            <w:r>
              <w:rPr>
                <w:rFonts w:ascii="宋体" w:cs="宋体"/>
                <w:bCs/>
                <w:szCs w:val="21"/>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ascii="宋体" w:cs="宋体"/>
                <w:bCs/>
                <w:szCs w:val="21"/>
              </w:rPr>
            </w:pPr>
            <w:r>
              <w:rPr>
                <w:rFonts w:hint="eastAsia" w:ascii="宋体" w:hAnsi="宋体" w:cs="宋体"/>
                <w:bCs/>
                <w:szCs w:val="21"/>
              </w:rPr>
              <w:t>负责人介绍，公司制定《应急准备和响应控制程序》、《应急救援预案》等，包括：火灾、</w:t>
            </w:r>
            <w:r>
              <w:rPr>
                <w:rFonts w:hint="eastAsia" w:ascii="宋体" w:hAnsi="宋体" w:cs="宋体"/>
                <w:bCs/>
                <w:szCs w:val="21"/>
                <w:lang w:val="en-US" w:eastAsia="zh-CN"/>
              </w:rPr>
              <w:t>触电</w:t>
            </w:r>
            <w:r>
              <w:rPr>
                <w:rFonts w:hint="eastAsia" w:ascii="宋体" w:hAnsi="宋体" w:cs="宋体"/>
                <w:bCs/>
                <w:szCs w:val="21"/>
              </w:rPr>
              <w:t>应急预案、生产车间梅雨、雷电等恶劣天气应急预案、机械伤害应急预案等</w:t>
            </w:r>
          </w:p>
          <w:p>
            <w:pPr>
              <w:rPr>
                <w:rFonts w:ascii="宋体" w:cs="宋体"/>
                <w:bCs/>
                <w:szCs w:val="21"/>
              </w:rPr>
            </w:pPr>
            <w:r>
              <w:rPr>
                <w:rFonts w:hint="eastAsia" w:ascii="宋体" w:hAnsi="宋体" w:cs="宋体"/>
                <w:bCs/>
                <w:szCs w:val="21"/>
              </w:rPr>
              <w:t>见：《触电事故应急预案演练记录》</w:t>
            </w:r>
          </w:p>
          <w:p>
            <w:pPr>
              <w:ind w:firstLine="420" w:firstLineChars="200"/>
              <w:rPr>
                <w:rFonts w:ascii="宋体" w:cs="宋体"/>
                <w:bCs/>
                <w:szCs w:val="21"/>
              </w:rPr>
            </w:pPr>
            <w:r>
              <w:rPr>
                <w:rFonts w:hint="eastAsia" w:ascii="宋体" w:hAnsi="宋体" w:cs="宋体"/>
                <w:bCs/>
                <w:szCs w:val="21"/>
              </w:rPr>
              <w:t>演练时间</w:t>
            </w:r>
            <w:r>
              <w:rPr>
                <w:rFonts w:ascii="宋体" w:hAnsi="宋体" w:cs="宋体"/>
                <w:bCs/>
                <w:szCs w:val="21"/>
              </w:rPr>
              <w:t xml:space="preserve"> </w:t>
            </w:r>
            <w:r>
              <w:rPr>
                <w:rFonts w:hint="eastAsia" w:ascii="宋体" w:hAnsi="宋体" w:cs="宋体"/>
                <w:bCs/>
                <w:szCs w:val="21"/>
              </w:rPr>
              <w:t>：</w:t>
            </w:r>
            <w:r>
              <w:rPr>
                <w:rFonts w:ascii="宋体" w:hAnsi="宋体" w:cs="宋体"/>
                <w:bCs/>
                <w:szCs w:val="21"/>
              </w:rPr>
              <w:t>20</w:t>
            </w:r>
            <w:r>
              <w:rPr>
                <w:rFonts w:hint="eastAsia" w:ascii="宋体" w:hAnsi="宋体" w:cs="宋体"/>
                <w:bCs/>
                <w:szCs w:val="21"/>
                <w:lang w:val="en-US" w:eastAsia="zh-CN"/>
              </w:rPr>
              <w:t>20</w:t>
            </w:r>
            <w:r>
              <w:rPr>
                <w:rFonts w:hint="eastAsia" w:ascii="宋体" w:hAnsi="宋体" w:cs="宋体"/>
                <w:bCs/>
                <w:szCs w:val="21"/>
              </w:rPr>
              <w:t>年</w:t>
            </w:r>
            <w:r>
              <w:rPr>
                <w:rFonts w:hint="eastAsia" w:ascii="宋体" w:hAnsi="宋体" w:cs="宋体"/>
                <w:bCs/>
                <w:szCs w:val="21"/>
                <w:lang w:val="en-US" w:eastAsia="zh-CN"/>
              </w:rPr>
              <w:t>1</w:t>
            </w:r>
            <w:r>
              <w:rPr>
                <w:rFonts w:hint="eastAsia" w:ascii="宋体" w:hAnsi="宋体" w:cs="宋体"/>
                <w:bCs/>
                <w:szCs w:val="21"/>
              </w:rPr>
              <w:t>月</w:t>
            </w:r>
            <w:r>
              <w:rPr>
                <w:rFonts w:ascii="宋体" w:hAnsi="宋体" w:cs="宋体"/>
                <w:bCs/>
                <w:szCs w:val="21"/>
              </w:rPr>
              <w:t>1</w:t>
            </w:r>
            <w:r>
              <w:rPr>
                <w:rFonts w:hint="eastAsia" w:ascii="宋体" w:hAnsi="宋体" w:cs="宋体"/>
                <w:bCs/>
                <w:szCs w:val="21"/>
                <w:lang w:val="en-US" w:eastAsia="zh-CN"/>
              </w:rPr>
              <w:t>0</w:t>
            </w:r>
            <w:r>
              <w:rPr>
                <w:rFonts w:hint="eastAsia" w:ascii="宋体" w:hAnsi="宋体" w:cs="宋体"/>
                <w:bCs/>
                <w:szCs w:val="21"/>
              </w:rPr>
              <w:t>日</w:t>
            </w:r>
          </w:p>
          <w:p>
            <w:pPr>
              <w:ind w:firstLine="420" w:firstLineChars="200"/>
              <w:rPr>
                <w:rFonts w:ascii="宋体" w:cs="宋体"/>
                <w:bCs/>
                <w:szCs w:val="21"/>
              </w:rPr>
            </w:pPr>
            <w:r>
              <w:rPr>
                <w:rFonts w:hint="eastAsia" w:ascii="宋体" w:hAnsi="宋体" w:cs="宋体"/>
                <w:bCs/>
                <w:szCs w:val="21"/>
              </w:rPr>
              <w:t>演练地点：生产车间</w:t>
            </w:r>
          </w:p>
          <w:p>
            <w:pPr>
              <w:ind w:firstLine="420" w:firstLineChars="200"/>
              <w:rPr>
                <w:rFonts w:ascii="宋体" w:cs="宋体"/>
                <w:bCs/>
                <w:szCs w:val="21"/>
              </w:rPr>
            </w:pPr>
            <w:r>
              <w:rPr>
                <w:rFonts w:hint="eastAsia" w:ascii="宋体" w:hAnsi="宋体" w:cs="宋体"/>
                <w:bCs/>
                <w:szCs w:val="21"/>
              </w:rPr>
              <w:t>演练部门：全体部门</w:t>
            </w:r>
          </w:p>
          <w:p>
            <w:pPr>
              <w:ind w:firstLine="420" w:firstLineChars="200"/>
              <w:rPr>
                <w:rFonts w:ascii="宋体" w:cs="宋体"/>
                <w:bCs/>
                <w:szCs w:val="21"/>
              </w:rPr>
            </w:pPr>
            <w:r>
              <w:rPr>
                <w:rFonts w:hint="eastAsia" w:ascii="宋体" w:hAnsi="宋体" w:cs="宋体"/>
                <w:bCs/>
                <w:szCs w:val="21"/>
              </w:rPr>
              <w:t>演练总指挥：总经理</w:t>
            </w:r>
          </w:p>
          <w:p>
            <w:pPr>
              <w:ind w:firstLine="420" w:firstLineChars="200"/>
              <w:rPr>
                <w:rFonts w:ascii="宋体" w:cs="宋体"/>
                <w:bCs/>
                <w:szCs w:val="21"/>
              </w:rPr>
            </w:pPr>
            <w:r>
              <w:rPr>
                <w:rFonts w:hint="eastAsia" w:ascii="宋体" w:hAnsi="宋体" w:cs="宋体"/>
                <w:bCs/>
                <w:szCs w:val="21"/>
              </w:rPr>
              <w:t>参加人员各部门部长。过程记录详细。</w:t>
            </w:r>
          </w:p>
          <w:p>
            <w:pPr>
              <w:pStyle w:val="20"/>
              <w:ind w:firstLine="460" w:firstLineChars="200"/>
              <w:rPr>
                <w:rFonts w:ascii="宋体" w:cs="宋体"/>
                <w:szCs w:val="21"/>
              </w:rPr>
            </w:pPr>
            <w:r>
              <w:rPr>
                <w:rFonts w:hint="eastAsia" w:ascii="宋体" w:hAnsi="宋体" w:cs="宋体"/>
                <w:szCs w:val="21"/>
              </w:rPr>
              <w:t>见：</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日组织了</w:t>
            </w:r>
            <w:r>
              <w:rPr>
                <w:rFonts w:hint="eastAsia" w:ascii="宋体" w:hAnsi="宋体" w:cs="宋体"/>
                <w:bCs w:val="0"/>
                <w:szCs w:val="21"/>
              </w:rPr>
              <w:t>消防安全应急</w:t>
            </w:r>
            <w:r>
              <w:rPr>
                <w:rFonts w:hint="eastAsia" w:ascii="宋体" w:hAnsi="宋体" w:cs="宋体"/>
                <w:szCs w:val="21"/>
              </w:rPr>
              <w:t>预案演练，演练中不但讲解了火灾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0"/>
                <w:szCs w:val="20"/>
              </w:rPr>
            </w:pP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lang w:val="en-US" w:eastAsia="zh-CN"/>
              </w:rPr>
              <w:t>行车按规定定期检验，储气罐上附件压力表和安全阀未提供检定相关证据，开具了不符合</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按要求储存、使用。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3168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spacing w:line="240" w:lineRule="exact"/>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9-10</w:t>
            </w:r>
            <w:r>
              <w:rPr>
                <w:rFonts w:hint="eastAsia"/>
              </w:rPr>
              <w:t>日。编制：</w:t>
            </w:r>
            <w:r>
              <w:rPr>
                <w:rFonts w:hint="eastAsia"/>
                <w:lang w:val="en-US" w:eastAsia="zh-CN"/>
              </w:rPr>
              <w:t>行政部</w:t>
            </w:r>
            <w:r>
              <w:rPr>
                <w:rFonts w:hint="eastAsia"/>
                <w:szCs w:val="21"/>
              </w:rPr>
              <w:t>，日期：</w:t>
            </w:r>
            <w:r>
              <w:rPr>
                <w:szCs w:val="21"/>
              </w:rPr>
              <w:t>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szCs w:val="21"/>
              </w:rPr>
              <w:t>5</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rPr>
              <w:t>不符合事实描述：</w:t>
            </w:r>
            <w:r>
              <w:rPr>
                <w:rFonts w:hint="eastAsia" w:ascii="宋体" w:hAnsi="宋体"/>
                <w:bCs/>
                <w:sz w:val="20"/>
                <w:szCs w:val="20"/>
                <w:lang w:eastAsia="zh-CN"/>
              </w:rPr>
              <w:t>行政部</w:t>
            </w:r>
            <w:r>
              <w:rPr>
                <w:rFonts w:hint="eastAsia" w:ascii="宋体" w:hAnsi="宋体"/>
                <w:bCs/>
                <w:sz w:val="20"/>
                <w:szCs w:val="20"/>
              </w:rPr>
              <w:t>有2处灭火器无检查记录</w:t>
            </w:r>
            <w:r>
              <w:rPr>
                <w:rFonts w:hint="eastAsia" w:ascii="宋体" w:hAnsi="宋体"/>
                <w:bCs/>
                <w:szCs w:val="21"/>
              </w:rPr>
              <w:t>；</w:t>
            </w:r>
            <w:r>
              <w:rPr>
                <w:rFonts w:hint="eastAsia" w:ascii="宋体" w:hAnsi="宋体"/>
              </w:rPr>
              <w:t>不符合</w:t>
            </w:r>
            <w:r>
              <w:rPr>
                <w:rFonts w:ascii="宋体" w:hAnsi="宋体" w:cs="宋体"/>
                <w:szCs w:val="21"/>
              </w:rPr>
              <w:t>ISO45001-2018</w:t>
            </w:r>
            <w:r>
              <w:rPr>
                <w:rFonts w:hint="eastAsia" w:ascii="宋体" w:hAnsi="宋体"/>
                <w:szCs w:val="21"/>
              </w:rPr>
              <w:t>标准条款：</w:t>
            </w:r>
            <w:r>
              <w:rPr>
                <w:rFonts w:ascii="宋体" w:hAnsi="宋体"/>
                <w:szCs w:val="21"/>
              </w:rPr>
              <w:t>8.1</w:t>
            </w:r>
            <w:r>
              <w:rPr>
                <w:rFonts w:hint="eastAsia" w:ascii="宋体" w:hAnsi="宋体"/>
                <w:szCs w:val="21"/>
              </w:rPr>
              <w:t>运行控制的相关条款；</w:t>
            </w: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 w:val="20"/>
                <w:szCs w:val="20"/>
              </w:rPr>
            </w:pPr>
            <w:r>
              <w:rPr>
                <w:rFonts w:hint="eastAsia"/>
              </w:rPr>
              <w:t>审核结论：</w:t>
            </w:r>
            <w:r>
              <w:rPr>
                <w:rFonts w:hint="eastAsia" w:ascii="宋体" w:hAnsi="宋体"/>
                <w:bCs/>
                <w:sz w:val="20"/>
                <w:szCs w:val="20"/>
              </w:rPr>
              <w:t>本次内审在各部门的支持和配合下，内审组能够较系统地对公司进行检查，认为公司</w:t>
            </w:r>
            <w:r>
              <w:rPr>
                <w:rFonts w:hint="eastAsia" w:ascii="宋体" w:hAnsi="宋体"/>
                <w:bCs/>
                <w:sz w:val="20"/>
                <w:szCs w:val="20"/>
                <w:lang w:eastAsia="zh-CN"/>
              </w:rPr>
              <w:t>三</w:t>
            </w:r>
            <w:r>
              <w:rPr>
                <w:rFonts w:hint="eastAsia" w:ascii="宋体" w:hAnsi="宋体"/>
                <w:bCs/>
                <w:sz w:val="20"/>
                <w:szCs w:val="20"/>
              </w:rPr>
              <w:t>体系运行基本良好，运行达到一定的效果，基本符合</w:t>
            </w:r>
            <w:r>
              <w:rPr>
                <w:rFonts w:hint="eastAsia" w:ascii="宋体" w:hAnsi="宋体"/>
                <w:sz w:val="20"/>
                <w:szCs w:val="20"/>
              </w:rPr>
              <w:t>ISO9</w:t>
            </w:r>
            <w:r>
              <w:rPr>
                <w:rFonts w:ascii="宋体" w:hAnsi="宋体"/>
                <w:sz w:val="20"/>
                <w:szCs w:val="20"/>
              </w:rPr>
              <w:t>001</w:t>
            </w:r>
            <w:r>
              <w:rPr>
                <w:rFonts w:hint="eastAsia" w:ascii="宋体" w:hAnsi="宋体"/>
                <w:sz w:val="20"/>
                <w:szCs w:val="20"/>
              </w:rPr>
              <w:t>:</w:t>
            </w:r>
            <w:r>
              <w:rPr>
                <w:rFonts w:ascii="宋体" w:hAnsi="宋体"/>
                <w:sz w:val="20"/>
                <w:szCs w:val="20"/>
              </w:rPr>
              <w:t>20</w:t>
            </w:r>
            <w:r>
              <w:rPr>
                <w:rFonts w:hint="eastAsia" w:ascii="宋体" w:hAnsi="宋体"/>
                <w:sz w:val="20"/>
                <w:szCs w:val="20"/>
              </w:rPr>
              <w:t>15</w:t>
            </w:r>
            <w:r>
              <w:rPr>
                <w:rFonts w:ascii="宋体" w:hAnsi="宋体"/>
                <w:sz w:val="20"/>
                <w:szCs w:val="20"/>
              </w:rPr>
              <w:t>；</w:t>
            </w:r>
            <w:r>
              <w:rPr>
                <w:rFonts w:hint="eastAsia" w:ascii="宋体" w:hAnsi="宋体"/>
                <w:sz w:val="20"/>
                <w:szCs w:val="20"/>
              </w:rPr>
              <w:t>ISO1</w:t>
            </w:r>
            <w:r>
              <w:rPr>
                <w:rFonts w:ascii="宋体" w:hAnsi="宋体"/>
                <w:sz w:val="20"/>
                <w:szCs w:val="20"/>
              </w:rPr>
              <w:t>4001</w:t>
            </w:r>
            <w:r>
              <w:rPr>
                <w:rFonts w:hint="eastAsia" w:ascii="宋体" w:hAnsi="宋体"/>
                <w:sz w:val="20"/>
                <w:szCs w:val="20"/>
              </w:rPr>
              <w:t>:</w:t>
            </w:r>
            <w:r>
              <w:rPr>
                <w:rFonts w:ascii="宋体" w:hAnsi="宋体"/>
                <w:sz w:val="20"/>
                <w:szCs w:val="20"/>
              </w:rPr>
              <w:t>20</w:t>
            </w:r>
            <w:r>
              <w:rPr>
                <w:rFonts w:hint="eastAsia" w:ascii="宋体" w:hAnsi="宋体"/>
                <w:sz w:val="20"/>
                <w:szCs w:val="20"/>
              </w:rPr>
              <w:t>15</w:t>
            </w:r>
            <w:r>
              <w:rPr>
                <w:rFonts w:ascii="宋体" w:hAnsi="宋体"/>
                <w:sz w:val="20"/>
                <w:szCs w:val="20"/>
              </w:rPr>
              <w:t>；ISO45001:2018</w:t>
            </w:r>
            <w:r>
              <w:rPr>
                <w:rFonts w:hint="eastAsia" w:ascii="宋体" w:hAnsi="宋体"/>
                <w:sz w:val="20"/>
                <w:szCs w:val="20"/>
              </w:rPr>
              <w:t>标准的要求，</w:t>
            </w:r>
            <w:r>
              <w:rPr>
                <w:rFonts w:hint="eastAsia" w:ascii="宋体" w:hAnsi="宋体"/>
                <w:bCs/>
                <w:sz w:val="20"/>
                <w:szCs w:val="20"/>
              </w:rPr>
              <w:t>但仍存在不足，各部门应举一反三，对类似问题予以整改。</w:t>
            </w:r>
          </w:p>
          <w:p>
            <w:pPr>
              <w:rPr>
                <w:rFonts w:hint="default" w:eastAsia="宋体"/>
                <w:lang w:val="en-US" w:eastAsia="zh-CN"/>
              </w:rPr>
            </w:pPr>
            <w:r>
              <w:rPr>
                <w:rFonts w:hint="eastAsia"/>
              </w:rPr>
              <w:t>编制：</w:t>
            </w:r>
            <w:r>
              <w:rPr>
                <w:rFonts w:hint="eastAsia"/>
                <w:lang w:val="en-US" w:eastAsia="zh-CN"/>
              </w:rPr>
              <w:t xml:space="preserve">行政部 </w:t>
            </w:r>
            <w:r>
              <w:t xml:space="preserve"> </w:t>
            </w:r>
            <w:r>
              <w:rPr>
                <w:rFonts w:hint="eastAsia"/>
              </w:rPr>
              <w:t>批准：</w:t>
            </w:r>
            <w:r>
              <w:rPr>
                <w:rFonts w:hint="eastAsia"/>
                <w:lang w:val="en-US" w:eastAsia="zh-CN"/>
              </w:rPr>
              <w:t>汪长虹</w:t>
            </w:r>
            <w:r>
              <w:rPr>
                <w:rFonts w:hint="eastAsia"/>
              </w:rPr>
              <w:t>，时间：</w:t>
            </w:r>
            <w:r>
              <w:t>20</w:t>
            </w:r>
            <w:r>
              <w:rPr>
                <w:rFonts w:hint="eastAsia"/>
                <w:lang w:val="en-US" w:eastAsia="zh-CN"/>
              </w:rPr>
              <w:t>20.3.10</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 xml:space="preserve"> 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一、管理评审计划，由办公室</w:t>
            </w:r>
            <w:r>
              <w:rPr>
                <w:szCs w:val="21"/>
              </w:rPr>
              <w:t>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szCs w:val="21"/>
              </w:rPr>
              <w:t>15</w:t>
            </w:r>
            <w:r>
              <w:rPr>
                <w:rFonts w:hint="eastAsia"/>
                <w:szCs w:val="21"/>
              </w:rPr>
              <w:t>日</w:t>
            </w:r>
            <w:r>
              <w:rPr>
                <w:rFonts w:hint="eastAsia" w:ascii="宋体" w:hAnsi="宋体" w:cs="宋体"/>
                <w:szCs w:val="21"/>
              </w:rPr>
              <w:t>提出，评审时间：</w:t>
            </w:r>
            <w:r>
              <w:rPr>
                <w:rFonts w:ascii="宋体" w:hAnsi="宋体" w:cs="宋体"/>
                <w:szCs w:val="21"/>
              </w:rPr>
              <w:t>2</w:t>
            </w:r>
            <w:r>
              <w:rPr>
                <w:rFonts w:hint="eastAsia" w:ascii="宋体" w:hAnsi="宋体" w:cs="宋体"/>
                <w:szCs w:val="21"/>
                <w:lang w:val="en-US" w:eastAsia="zh-CN"/>
              </w:rPr>
              <w:t>020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 w:val="20"/>
                <w:szCs w:val="20"/>
                <w:lang w:val="en-US" w:eastAsia="zh-CN"/>
              </w:rPr>
            </w:pPr>
            <w:r>
              <w:rPr>
                <w:rFonts w:hint="eastAsia" w:ascii="宋体" w:hAnsi="宋体" w:cs="宋体"/>
                <w:sz w:val="20"/>
                <w:szCs w:val="20"/>
              </w:rPr>
              <w:t>参加人员：</w:t>
            </w:r>
            <w:r>
              <w:rPr>
                <w:rFonts w:hint="eastAsia" w:ascii="宋体" w:hAnsi="宋体"/>
                <w:sz w:val="20"/>
                <w:szCs w:val="20"/>
              </w:rPr>
              <w:t>总经理：</w:t>
            </w:r>
            <w:r>
              <w:rPr>
                <w:rFonts w:hint="eastAsia" w:ascii="宋体" w:hAnsi="宋体"/>
                <w:color w:val="auto"/>
                <w:sz w:val="20"/>
                <w:szCs w:val="20"/>
              </w:rPr>
              <w:t>汪长虹</w:t>
            </w:r>
            <w:r>
              <w:rPr>
                <w:rFonts w:hint="eastAsia" w:ascii="宋体" w:hAnsi="宋体"/>
                <w:sz w:val="20"/>
                <w:szCs w:val="20"/>
              </w:rPr>
              <w:t>，管理者代表：</w:t>
            </w:r>
            <w:r>
              <w:rPr>
                <w:rFonts w:hint="eastAsia" w:ascii="宋体" w:hAnsi="宋体"/>
                <w:color w:val="auto"/>
                <w:sz w:val="20"/>
                <w:szCs w:val="20"/>
              </w:rPr>
              <w:t>汪晓虹</w:t>
            </w:r>
            <w:r>
              <w:rPr>
                <w:rFonts w:hint="eastAsia" w:ascii="宋体" w:hAnsi="宋体"/>
                <w:sz w:val="20"/>
                <w:szCs w:val="20"/>
              </w:rPr>
              <w:t>，安全事务代表：</w:t>
            </w:r>
            <w:r>
              <w:rPr>
                <w:rFonts w:hint="eastAsia"/>
                <w:color w:val="auto"/>
                <w:sz w:val="20"/>
                <w:szCs w:val="20"/>
              </w:rPr>
              <w:t>李</w:t>
            </w:r>
            <w:r>
              <w:rPr>
                <w:rFonts w:hint="eastAsia"/>
                <w:color w:val="auto"/>
                <w:sz w:val="20"/>
                <w:szCs w:val="20"/>
                <w:lang w:val="en-US" w:eastAsia="zh-CN"/>
              </w:rPr>
              <w:t xml:space="preserve"> </w:t>
            </w:r>
            <w:r>
              <w:rPr>
                <w:rFonts w:hint="eastAsia"/>
                <w:color w:val="auto"/>
                <w:sz w:val="20"/>
                <w:szCs w:val="20"/>
              </w:rPr>
              <w:t>刚</w:t>
            </w:r>
            <w:r>
              <w:rPr>
                <w:rFonts w:hint="eastAsia" w:ascii="宋体" w:hAnsi="宋体"/>
                <w:sz w:val="20"/>
                <w:szCs w:val="20"/>
              </w:rPr>
              <w:t>，</w:t>
            </w:r>
            <w:r>
              <w:rPr>
                <w:rFonts w:hint="eastAsia" w:ascii="宋体" w:hAnsi="宋体"/>
                <w:sz w:val="20"/>
                <w:szCs w:val="20"/>
                <w:lang w:val="en-US" w:eastAsia="zh-CN"/>
              </w:rPr>
              <w:t>行政部</w:t>
            </w:r>
            <w:r>
              <w:rPr>
                <w:rFonts w:hint="eastAsia" w:ascii="宋体" w:hAnsi="宋体"/>
                <w:sz w:val="20"/>
                <w:szCs w:val="20"/>
              </w:rPr>
              <w:t>：</w:t>
            </w:r>
            <w:r>
              <w:rPr>
                <w:rFonts w:hint="eastAsia" w:ascii="宋体" w:hAnsi="宋体"/>
                <w:sz w:val="20"/>
                <w:szCs w:val="20"/>
                <w:lang w:val="en-US" w:eastAsia="zh-CN"/>
              </w:rPr>
              <w:t>杨蓉</w:t>
            </w:r>
            <w:r>
              <w:rPr>
                <w:rFonts w:hint="eastAsia" w:ascii="宋体" w:hAnsi="宋体"/>
                <w:sz w:val="20"/>
                <w:szCs w:val="20"/>
              </w:rPr>
              <w:t>，</w:t>
            </w:r>
            <w:r>
              <w:rPr>
                <w:rFonts w:hint="eastAsia" w:ascii="宋体" w:hAnsi="宋体"/>
                <w:sz w:val="20"/>
                <w:szCs w:val="20"/>
                <w:lang w:val="en-US" w:eastAsia="zh-CN"/>
              </w:rPr>
              <w:t>市场</w:t>
            </w:r>
            <w:r>
              <w:rPr>
                <w:rFonts w:hint="eastAsia" w:ascii="宋体" w:hAnsi="宋体"/>
                <w:sz w:val="20"/>
                <w:szCs w:val="20"/>
              </w:rPr>
              <w:t>部主任：</w:t>
            </w:r>
            <w:r>
              <w:rPr>
                <w:rFonts w:hint="eastAsia" w:ascii="宋体" w:hAnsi="宋体"/>
                <w:color w:val="auto"/>
                <w:sz w:val="20"/>
                <w:szCs w:val="20"/>
              </w:rPr>
              <w:t>汪晓虹</w:t>
            </w:r>
            <w:r>
              <w:rPr>
                <w:rFonts w:hint="eastAsia" w:ascii="宋体" w:hAnsi="宋体"/>
                <w:sz w:val="20"/>
                <w:szCs w:val="20"/>
              </w:rPr>
              <w:t>，生产部主任：</w:t>
            </w:r>
            <w:r>
              <w:rPr>
                <w:rFonts w:hint="eastAsia" w:ascii="宋体" w:hAnsi="宋体"/>
                <w:color w:val="auto"/>
                <w:sz w:val="20"/>
                <w:szCs w:val="20"/>
                <w:lang w:eastAsia="zh-CN"/>
              </w:rPr>
              <w:t>李腊根</w:t>
            </w:r>
            <w:r>
              <w:rPr>
                <w:rFonts w:hint="eastAsia" w:ascii="宋体" w:hAnsi="宋体"/>
                <w:sz w:val="20"/>
                <w:szCs w:val="20"/>
              </w:rPr>
              <w:t>，</w:t>
            </w:r>
            <w:r>
              <w:rPr>
                <w:rFonts w:hint="eastAsia" w:ascii="宋体" w:hAnsi="宋体"/>
                <w:sz w:val="20"/>
                <w:szCs w:val="20"/>
                <w:lang w:val="en-US" w:eastAsia="zh-CN"/>
              </w:rPr>
              <w:t>财务</w:t>
            </w:r>
            <w:r>
              <w:rPr>
                <w:rFonts w:hint="eastAsia" w:ascii="宋体" w:hAnsi="宋体"/>
                <w:sz w:val="20"/>
                <w:szCs w:val="20"/>
              </w:rPr>
              <w:t>部主任：</w:t>
            </w:r>
            <w:r>
              <w:rPr>
                <w:rFonts w:hint="eastAsia" w:ascii="宋体" w:hAnsi="宋体"/>
                <w:color w:val="auto"/>
                <w:sz w:val="20"/>
                <w:szCs w:val="20"/>
              </w:rPr>
              <w:t>曾招弟</w:t>
            </w:r>
            <w:r>
              <w:rPr>
                <w:rFonts w:hint="eastAsia" w:ascii="宋体" w:hAnsi="宋体"/>
                <w:color w:val="auto"/>
                <w:sz w:val="20"/>
                <w:szCs w:val="20"/>
                <w:lang w:eastAsia="zh-CN"/>
              </w:rPr>
              <w:t>，</w:t>
            </w:r>
            <w:r>
              <w:rPr>
                <w:rFonts w:hint="eastAsia" w:ascii="宋体" w:hAnsi="宋体"/>
                <w:color w:val="auto"/>
                <w:sz w:val="20"/>
                <w:szCs w:val="20"/>
                <w:lang w:val="en-US" w:eastAsia="zh-CN"/>
              </w:rPr>
              <w:t>质检部：</w:t>
            </w:r>
            <w:r>
              <w:rPr>
                <w:rFonts w:hint="eastAsia"/>
                <w:color w:val="auto"/>
                <w:sz w:val="20"/>
                <w:szCs w:val="20"/>
                <w:lang w:eastAsia="zh-CN"/>
              </w:rPr>
              <w:t>陈建华</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lang w:val="en-US" w:eastAsia="zh-CN"/>
              </w:rPr>
              <w:t>无需</w:t>
            </w:r>
            <w:r>
              <w:rPr>
                <w:rFonts w:hint="eastAsia"/>
                <w:b/>
                <w:color w:val="000000"/>
                <w:sz w:val="20"/>
                <w:szCs w:val="20"/>
              </w:rPr>
              <w:t>进行定期测量，满足要求。</w:t>
            </w:r>
          </w:p>
          <w:p>
            <w:pPr>
              <w:spacing w:line="240" w:lineRule="exact"/>
              <w:rPr>
                <w:b/>
                <w:color w:val="000000"/>
                <w:sz w:val="20"/>
                <w:szCs w:val="20"/>
              </w:rPr>
            </w:pPr>
            <w:r>
              <w:rPr>
                <w:rFonts w:hint="eastAsia"/>
                <w:b/>
                <w:color w:val="000000"/>
                <w:sz w:val="20"/>
                <w:szCs w:val="20"/>
              </w:rPr>
              <w:t>进行了健康体检。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251657216;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p>
          <w:p>
            <w:pPr>
              <w:spacing w:line="320" w:lineRule="exact"/>
              <w:rPr>
                <w:rFonts w:ascii="宋体"/>
                <w:b/>
                <w:color w:val="000000"/>
                <w:u w:val="single"/>
              </w:rPr>
            </w:pPr>
          </w:p>
          <w:p>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525" w:firstLineChars="201"/>
        <w:jc w:val="left"/>
        <w:rPr>
          <w:b/>
          <w:color w:val="000000"/>
        </w:rPr>
      </w:pPr>
      <w:bookmarkStart w:id="21" w:name="_GoBack"/>
      <w:r>
        <w:rPr>
          <w:rFonts w:hint="eastAsia"/>
          <w:b/>
          <w:color w:val="000000"/>
          <w:sz w:val="26"/>
          <w:szCs w:val="26"/>
        </w:rPr>
        <w:drawing>
          <wp:anchor distT="0" distB="0" distL="114300" distR="114300" simplePos="0" relativeHeight="251659264" behindDoc="0" locked="0" layoutInCell="1" allowOverlap="1">
            <wp:simplePos x="0" y="0"/>
            <wp:positionH relativeFrom="column">
              <wp:posOffset>-1056640</wp:posOffset>
            </wp:positionH>
            <wp:positionV relativeFrom="paragraph">
              <wp:posOffset>-402590</wp:posOffset>
            </wp:positionV>
            <wp:extent cx="5875655" cy="9011920"/>
            <wp:effectExtent l="0" t="0" r="4445" b="5080"/>
            <wp:wrapNone/>
            <wp:docPr id="3" name="图片 3" descr="9a382c110500a7915a76162820e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a382c110500a7915a76162820e4785"/>
                    <pic:cNvPicPr>
                      <a:picLocks noChangeAspect="1"/>
                    </pic:cNvPicPr>
                  </pic:nvPicPr>
                  <pic:blipFill>
                    <a:blip r:embed="rId6"/>
                    <a:stretch>
                      <a:fillRect/>
                    </a:stretch>
                  </pic:blipFill>
                  <pic:spPr>
                    <a:xfrm>
                      <a:off x="0" y="0"/>
                      <a:ext cx="5875655" cy="9011920"/>
                    </a:xfrm>
                    <a:prstGeom prst="rect">
                      <a:avLst/>
                    </a:prstGeom>
                  </pic:spPr>
                </pic:pic>
              </a:graphicData>
            </a:graphic>
          </wp:anchor>
        </w:drawing>
      </w:r>
      <w:bookmarkEnd w:id="21"/>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Lines="50" w:afterLines="50"/>
        <w:ind w:left="1" w:leftChars="-405" w:hanging="851" w:hangingChars="326"/>
        <w:rPr>
          <w:b/>
          <w:color w:val="000000"/>
          <w:sz w:val="26"/>
          <w:szCs w:val="26"/>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Lines="50" w:afterLines="50"/>
        <w:ind w:left="-326" w:leftChars="-405" w:hanging="524" w:hangingChars="326"/>
        <w:rPr>
          <w:b/>
          <w:color w:val="000000"/>
          <w:sz w:val="16"/>
          <w:szCs w:val="16"/>
        </w:rPr>
      </w:pPr>
    </w:p>
    <w:p>
      <w:pPr>
        <w:snapToGrid w:val="0"/>
        <w:rPr>
          <w:b/>
          <w:bCs/>
          <w:color w:val="000000"/>
          <w:szCs w:val="28"/>
          <w:u w:val="single"/>
        </w:rPr>
      </w:pPr>
    </w:p>
    <w:p>
      <w:pPr>
        <w:snapToGrid w:val="0"/>
        <w:spacing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Lines="50" w:line="360" w:lineRule="auto"/>
        <w:ind w:firstLine="527" w:firstLineChars="250"/>
        <w:rPr>
          <w:b/>
          <w:color w:val="000000"/>
        </w:rPr>
      </w:pP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r>
        <w:rPr>
          <w:rFonts w:hint="eastAsia" w:ascii="宋体" w:hAnsi="宋体"/>
          <w:b/>
          <w:color w:val="000000"/>
        </w:rPr>
        <w:t>日</w:t>
      </w:r>
    </w:p>
    <w:p>
      <w:pPr>
        <w:spacing w:beforeLines="50"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Lines="50" w:afterLines="50" w:line="360" w:lineRule="auto"/>
        <w:ind w:left="0"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 xml:space="preserve">OHSMS(  </w:t>
      </w:r>
      <w:r>
        <w:rPr>
          <w:rFonts w:hint="eastAsia"/>
          <w:b/>
          <w:color w:val="000000"/>
          <w:szCs w:val="21"/>
          <w:lang w:val="en-US" w:eastAsia="zh-CN"/>
        </w:rPr>
        <w:t>2</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Lines="50"/>
        <w:ind w:firstLine="422" w:firstLineChars="200"/>
        <w:rPr>
          <w:b/>
          <w:color w:val="000000"/>
          <w:szCs w:val="21"/>
        </w:rPr>
      </w:pPr>
    </w:p>
    <w:p>
      <w:pPr>
        <w:spacing w:afterLines="50"/>
        <w:ind w:left="0"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rFonts w:hint="eastAsia"/>
          <w:b/>
          <w:color w:val="000000"/>
          <w:szCs w:val="21"/>
        </w:rPr>
        <w:t>日</w:t>
      </w:r>
    </w:p>
    <w:p>
      <w:pPr>
        <w:spacing w:line="360" w:lineRule="auto"/>
        <w:ind w:left="0"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0" w:leftChars="-405" w:hanging="850" w:hangingChars="403"/>
        <w:rPr>
          <w:b/>
          <w:color w:val="000000"/>
          <w:szCs w:val="21"/>
          <w:u w:val="single"/>
        </w:rPr>
      </w:pPr>
    </w:p>
    <w:p>
      <w:pPr>
        <w:snapToGrid w:val="0"/>
        <w:spacing w:line="360" w:lineRule="auto"/>
        <w:ind w:left="0" w:leftChars="-405" w:hanging="850" w:hangingChars="403"/>
        <w:rPr>
          <w:b/>
          <w:color w:val="000000"/>
          <w:szCs w:val="21"/>
          <w:u w:val="single"/>
        </w:rPr>
      </w:pPr>
    </w:p>
    <w:p>
      <w:pPr>
        <w:snapToGrid w:val="0"/>
        <w:spacing w:line="360" w:lineRule="auto"/>
        <w:ind w:left="31680" w:hanging="738" w:hangingChars="350"/>
        <w:rPr>
          <w:b/>
          <w:color w:val="000000"/>
          <w:szCs w:val="21"/>
          <w:u w:val="single"/>
        </w:rPr>
      </w:pPr>
    </w:p>
    <w:p>
      <w:pPr>
        <w:spacing w:beforeLines="50"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Lines="20"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Lines="20"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Lines="50"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31680" w:hanging="964" w:hangingChars="600"/>
        <w:rPr>
          <w:b/>
          <w:bCs/>
          <w:color w:val="000000"/>
          <w:sz w:val="16"/>
          <w:szCs w:val="1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3F4F1C"/>
    <w:rsid w:val="32500482"/>
    <w:rsid w:val="4B3A0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99"/>
    <w:pPr>
      <w:spacing w:after="120"/>
      <w:ind w:left="420" w:leftChars="200"/>
    </w:pPr>
  </w:style>
  <w:style w:type="paragraph" w:styleId="4">
    <w:name w:val="Plain Text"/>
    <w:basedOn w:val="1"/>
    <w:qFormat/>
    <w:uiPriority w:val="99"/>
    <w:rPr>
      <w:rFonts w:ascii="宋体" w:hAnsi="Courier New"/>
      <w:kern w:val="0"/>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12</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小小</cp:lastModifiedBy>
  <cp:lastPrinted>2019-05-13T03:19:00Z</cp:lastPrinted>
  <dcterms:modified xsi:type="dcterms:W3CDTF">2020-04-30T03:39:33Z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