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四川太一新能源开发有限公司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0057-2017-2020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0057-2017-2020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3140"/>
        <w:gridCol w:w="1734"/>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rPr>
              <w:t>企业</w:t>
            </w:r>
            <w:r>
              <w:rPr>
                <w:rFonts w:cs="宋体" w:asciiTheme="minorEastAsia" w:hAnsiTheme="minorEastAsia"/>
                <w:kern w:val="0"/>
                <w:szCs w:val="21"/>
              </w:rPr>
              <w:t>名称</w:t>
            </w:r>
          </w:p>
        </w:tc>
        <w:tc>
          <w:tcPr>
            <w:tcW w:w="3140"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rPr>
              <w:t>四川太一新能源开发有限公司</w:t>
            </w:r>
          </w:p>
        </w:tc>
        <w:tc>
          <w:tcPr>
            <w:tcW w:w="1734"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rPr>
              <w:t>企业联系人</w:t>
            </w:r>
          </w:p>
        </w:tc>
        <w:tc>
          <w:tcPr>
            <w:tcW w:w="185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lang w:val="en-US" w:eastAsia="zh-CN"/>
              </w:rPr>
              <w:t xml:space="preserve"> 徐静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40"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bookmarkStart w:id="4" w:name="证书编号"/>
            <w:bookmarkEnd w:id="4"/>
            <w:r>
              <w:rPr>
                <w:rFonts w:cs="宋体" w:asciiTheme="minorEastAsia" w:hAnsiTheme="minorEastAsia"/>
                <w:kern w:val="0"/>
                <w:szCs w:val="21"/>
              </w:rPr>
              <w:t>ISC-</w:t>
            </w:r>
            <w:r>
              <w:rPr>
                <w:rFonts w:hint="eastAsia" w:cs="宋体" w:asciiTheme="minorEastAsia" w:hAnsiTheme="minorEastAsia"/>
                <w:kern w:val="0"/>
                <w:szCs w:val="21"/>
                <w:lang w:val="en-US" w:eastAsia="zh-CN"/>
              </w:rPr>
              <w:t xml:space="preserve"> 2017-0140</w:t>
            </w:r>
          </w:p>
        </w:tc>
        <w:tc>
          <w:tcPr>
            <w:tcW w:w="1734"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rPr>
              <w:t>证书有效期</w:t>
            </w:r>
          </w:p>
        </w:tc>
        <w:tc>
          <w:tcPr>
            <w:tcW w:w="185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bookmarkStart w:id="5" w:name="证书有效期"/>
            <w:bookmarkEnd w:id="5"/>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年0</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月0</w:t>
            </w: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40" w:type="dxa"/>
            <w:vAlign w:val="top"/>
          </w:tcPr>
          <w:p>
            <w:pPr>
              <w:tabs>
                <w:tab w:val="left" w:pos="880"/>
              </w:tabs>
              <w:autoSpaceDE w:val="0"/>
              <w:autoSpaceDN w:val="0"/>
              <w:adjustRightInd w:val="0"/>
              <w:spacing w:before="35" w:line="360" w:lineRule="auto"/>
              <w:ind w:right="161" w:rightChars="0" w:firstLine="210" w:firstLineChars="100"/>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次监督审核</w:t>
            </w:r>
          </w:p>
        </w:tc>
        <w:tc>
          <w:tcPr>
            <w:tcW w:w="1734"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kern w:val="0"/>
                <w:szCs w:val="21"/>
              </w:rPr>
              <w:t>时间</w:t>
            </w:r>
          </w:p>
        </w:tc>
        <w:tc>
          <w:tcPr>
            <w:tcW w:w="185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79" w:type="dxa"/>
            <w:vAlign w:val="top"/>
          </w:tcPr>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60" w:lineRule="auto"/>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40" w:type="dxa"/>
            <w:vAlign w:val="top"/>
          </w:tcPr>
          <w:p>
            <w:pPr>
              <w:tabs>
                <w:tab w:val="left" w:pos="880"/>
              </w:tabs>
              <w:autoSpaceDE w:val="0"/>
              <w:autoSpaceDN w:val="0"/>
              <w:adjustRightInd w:val="0"/>
              <w:spacing w:before="35" w:line="360" w:lineRule="auto"/>
              <w:ind w:right="161" w:firstLine="210" w:firstLineChars="100"/>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360" w:lineRule="auto"/>
              <w:ind w:right="161" w:rightChars="0" w:firstLine="210" w:firstLineChars="100"/>
              <w:rPr>
                <w:rFonts w:cs="宋体" w:asciiTheme="minorEastAsia" w:hAnsiTheme="minorEastAsia"/>
                <w:kern w:val="0"/>
                <w:szCs w:val="21"/>
              </w:rPr>
            </w:pPr>
            <w:r>
              <w:rPr>
                <w:rFonts w:hint="eastAsia" w:ascii="宋体" w:hAnsi="宋体"/>
                <w:szCs w:val="21"/>
              </w:rPr>
              <w:t>胡琳</w:t>
            </w:r>
            <w:r>
              <w:rPr>
                <w:rFonts w:hint="eastAsia" w:ascii="宋体" w:hAnsi="宋体"/>
                <w:szCs w:val="21"/>
                <w:lang w:val="en-US" w:eastAsia="zh-CN"/>
              </w:rPr>
              <w:t>ISC[S]0056</w:t>
            </w:r>
          </w:p>
        </w:tc>
        <w:tc>
          <w:tcPr>
            <w:tcW w:w="1734"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85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ascii="宋体" w:hAnsi="宋体" w:cs="宋体"/>
                <w:kern w:val="0"/>
                <w:szCs w:val="21"/>
              </w:rPr>
              <w:t>办公室、生产部、</w:t>
            </w:r>
            <w:r>
              <w:rPr>
                <w:rFonts w:hint="eastAsia" w:ascii="宋体" w:hAnsi="宋体" w:cs="宋体"/>
                <w:kern w:val="0"/>
                <w:szCs w:val="21"/>
                <w:lang w:eastAsia="zh-CN"/>
              </w:rPr>
              <w:t>质检</w:t>
            </w:r>
            <w:r>
              <w:rPr>
                <w:rFonts w:hint="eastAsia" w:ascii="宋体" w:hAnsi="宋体" w:cs="宋体"/>
                <w:kern w:val="0"/>
                <w:szCs w:val="21"/>
              </w:rPr>
              <w:t>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rPr>
          <w:rFonts w:cs="宋体" w:asciiTheme="minorEastAsia" w:hAnsiTheme="minorEastAsia"/>
          <w:bCs/>
          <w:kern w:val="0"/>
          <w:szCs w:val="21"/>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为有效评价公司测量管理体系认证后</w:t>
      </w:r>
      <w:r>
        <w:rPr>
          <w:rFonts w:hint="eastAsia" w:cs="宋体" w:asciiTheme="minorEastAsia" w:hAnsiTheme="minorEastAsia"/>
          <w:bCs/>
          <w:kern w:val="0"/>
          <w:szCs w:val="21"/>
          <w:lang w:val="en-US" w:eastAsia="zh-CN"/>
        </w:rPr>
        <w:t>2019</w:t>
      </w:r>
      <w:r>
        <w:rPr>
          <w:rFonts w:hint="eastAsia" w:cs="宋体" w:asciiTheme="minorEastAsia" w:hAnsiTheme="minorEastAsia"/>
          <w:bCs/>
          <w:kern w:val="0"/>
          <w:szCs w:val="21"/>
        </w:rPr>
        <w:t>年</w:t>
      </w:r>
      <w:bookmarkStart w:id="7" w:name="_GoBack"/>
      <w:bookmarkEnd w:id="7"/>
      <w:r>
        <w:rPr>
          <w:rFonts w:hint="eastAsia" w:cs="宋体" w:asciiTheme="minorEastAsia" w:hAnsiTheme="minorEastAsia"/>
          <w:bCs/>
          <w:kern w:val="0"/>
          <w:szCs w:val="21"/>
        </w:rPr>
        <w:t>运行情况，20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个职能部门</w:t>
      </w:r>
      <w:r>
        <w:rPr>
          <w:rFonts w:hint="eastAsia" w:cs="宋体" w:asciiTheme="minorEastAsia" w:hAnsiTheme="minorEastAsia"/>
          <w:bCs/>
          <w:kern w:val="0"/>
          <w:szCs w:val="21"/>
          <w:lang w:eastAsia="zh-CN"/>
        </w:rPr>
        <w:t>及</w:t>
      </w:r>
      <w:r>
        <w:rPr>
          <w:rFonts w:hint="eastAsia" w:cs="宋体" w:asciiTheme="minorEastAsia" w:hAnsiTheme="minorEastAsia"/>
          <w:bCs/>
          <w:kern w:val="0"/>
          <w:szCs w:val="21"/>
        </w:rPr>
        <w:t>车间，该企业不是重点耗能单位，企业的能源计量器具的配备率及准确度等级均满足G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了公司计量特征突出的重要环节、</w:t>
      </w:r>
      <w:r>
        <w:rPr>
          <w:rFonts w:hint="eastAsia" w:ascii="宋体" w:hAnsi="宋体" w:eastAsia="宋体" w:cs="Times New Roman"/>
          <w:szCs w:val="21"/>
        </w:rPr>
        <w:t>原材料（外购件、外协件进厂检测）、组装生产线中产品的各种综合性能检测等测量过程</w:t>
      </w:r>
      <w:r>
        <w:rPr>
          <w:rFonts w:hint="eastAsia" w:ascii="宋体" w:hAnsi="宋体"/>
          <w:szCs w:val="21"/>
        </w:rPr>
        <w:t>以及量值溯源系统</w:t>
      </w:r>
      <w:r>
        <w:rPr>
          <w:rFonts w:hint="eastAsia" w:cs="宋体" w:asciiTheme="minorEastAsia" w:hAnsiTheme="minorEastAsia"/>
          <w:bCs/>
          <w:kern w:val="0"/>
          <w:szCs w:val="21"/>
        </w:rPr>
        <w:t>，同时，跟踪验证了该公司在获得测量管理体系认证后，对体系的运行监视、分析完善和持续改进等工作情况。</w:t>
      </w:r>
    </w:p>
    <w:p>
      <w:pPr>
        <w:widowControl/>
        <w:spacing w:line="400" w:lineRule="exact"/>
        <w:ind w:firstLine="420" w:firstLineChars="200"/>
        <w:rPr>
          <w:rFonts w:hint="eastAsia" w:ascii="宋体" w:hAnsi="宋体"/>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440" w:lineRule="exact"/>
        <w:rPr>
          <w:rFonts w:cs="宋体" w:asciiTheme="minorEastAsia" w:hAnsiTheme="minorEastAsia"/>
          <w:bCs/>
          <w:kern w:val="0"/>
          <w:szCs w:val="21"/>
        </w:rPr>
      </w:pPr>
      <w:r>
        <w:rPr>
          <w:rFonts w:hint="eastAsia" w:cs="宋体" w:asciiTheme="minorEastAsia" w:hAnsiTheme="minorEastAsia"/>
          <w:bCs/>
          <w:kern w:val="0"/>
          <w:szCs w:val="21"/>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在审核过程中了解到，该公司</w:t>
      </w:r>
      <w:r>
        <w:rPr>
          <w:rFonts w:hint="eastAsia" w:cs="宋体" w:asciiTheme="minorEastAsia" w:hAnsiTheme="minorEastAsia"/>
          <w:bCs/>
          <w:color w:val="000000" w:themeColor="text1"/>
          <w:kern w:val="0"/>
          <w:szCs w:val="21"/>
        </w:rPr>
        <w:t>于20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10</w:t>
      </w:r>
      <w:r>
        <w:rPr>
          <w:rFonts w:hint="eastAsia" w:cs="宋体" w:asciiTheme="minorEastAsia" w:hAnsiTheme="minorEastAsia"/>
          <w:bCs/>
          <w:color w:val="000000" w:themeColor="text1"/>
          <w:kern w:val="0"/>
          <w:szCs w:val="21"/>
        </w:rPr>
        <w:t>日 组织了内部审核</w:t>
      </w:r>
      <w:r>
        <w:rPr>
          <w:rFonts w:hint="eastAsia" w:cs="宋体" w:asciiTheme="minorEastAsia" w:hAnsiTheme="minorEastAsia"/>
          <w:bCs/>
          <w:kern w:val="0"/>
          <w:szCs w:val="21"/>
        </w:rPr>
        <w:t>，对内审中提出的</w:t>
      </w:r>
      <w:r>
        <w:rPr>
          <w:rFonts w:hint="eastAsia" w:ascii="宋体" w:hAnsi="宋体"/>
          <w:szCs w:val="21"/>
          <w:lang w:val="en-US" w:eastAsia="zh-CN"/>
        </w:rPr>
        <w:t>1</w:t>
      </w:r>
      <w:r>
        <w:rPr>
          <w:rFonts w:hint="eastAsia" w:ascii="宋体" w:hAnsi="宋体"/>
          <w:szCs w:val="21"/>
        </w:rPr>
        <w:t>项不符合</w:t>
      </w:r>
      <w:r>
        <w:rPr>
          <w:rFonts w:hint="eastAsia" w:cs="宋体" w:asciiTheme="minorEastAsia" w:hAnsiTheme="minorEastAsia"/>
          <w:bCs/>
          <w:kern w:val="0"/>
          <w:szCs w:val="21"/>
        </w:rPr>
        <w:t>制定了纠正措施，并进行了整改</w:t>
      </w: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3</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12</w:t>
      </w:r>
      <w:r>
        <w:rPr>
          <w:rFonts w:hint="eastAsia" w:cs="宋体" w:asciiTheme="minorEastAsia" w:hAnsiTheme="minorEastAsia"/>
          <w:bCs/>
          <w:color w:val="000000" w:themeColor="text1"/>
          <w:kern w:val="0"/>
          <w:szCs w:val="21"/>
        </w:rPr>
        <w:t>日进行</w:t>
      </w:r>
      <w:r>
        <w:rPr>
          <w:rFonts w:hint="eastAsia" w:cs="宋体" w:asciiTheme="minorEastAsia" w:hAnsiTheme="minorEastAsia"/>
          <w:bCs/>
          <w:kern w:val="0"/>
          <w:szCs w:val="21"/>
        </w:rPr>
        <w:t>了管理评审，对测量管理体系进行了有效评价，确保了测量管理体系的运行质量。</w:t>
      </w:r>
    </w:p>
    <w:p>
      <w:pPr>
        <w:widowControl/>
        <w:spacing w:line="440" w:lineRule="exact"/>
        <w:rPr>
          <w:rFonts w:asciiTheme="minorEastAsia" w:hAnsiTheme="minorEastAsia"/>
          <w:bCs/>
          <w:szCs w:val="21"/>
        </w:rPr>
      </w:pPr>
      <w:r>
        <w:rPr>
          <w:rFonts w:hint="eastAsia" w:asciiTheme="minorEastAsia" w:hAnsiTheme="minorEastAsia"/>
          <w:bCs/>
          <w:szCs w:val="21"/>
        </w:rPr>
        <w:t>4.为持续改进而策划的活动的进展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400" w:lineRule="exact"/>
        <w:ind w:firstLine="420" w:firstLineChars="200"/>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rPr>
        <w:t>四川太一新能源开发有限公司领导层重视测量管理体系各项工作，职能部门职能作用发挥较好，建立的测量管理体系，运行正常，并持续符合相关法律、法规的要求；</w:t>
      </w:r>
    </w:p>
    <w:p>
      <w:pPr>
        <w:widowControl/>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201</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抽查了企业对已识别的</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个关键测量过程：</w:t>
      </w:r>
      <w:r>
        <w:rPr>
          <w:rFonts w:hint="eastAsia"/>
        </w:rPr>
        <w:t>灯杆上口外径测试过程</w:t>
      </w:r>
      <w:r>
        <w:rPr>
          <w:rFonts w:hint="eastAsia" w:cs="宋体" w:asciiTheme="minorEastAsia" w:hAnsiTheme="minorEastAsia"/>
          <w:kern w:val="0"/>
          <w:szCs w:val="21"/>
          <w:lang w:eastAsia="zh-CN"/>
        </w:rPr>
        <w:t>、</w:t>
      </w:r>
      <w:r>
        <w:rPr>
          <w:rFonts w:hint="eastAsia"/>
          <w:lang w:val="en-US" w:eastAsia="zh-CN"/>
        </w:rPr>
        <w:t>灯杆壁厚</w:t>
      </w:r>
      <w:r>
        <w:rPr>
          <w:rFonts w:hint="eastAsia"/>
        </w:rPr>
        <w:t>测试过程</w:t>
      </w:r>
      <w:r>
        <w:rPr>
          <w:rFonts w:hint="eastAsia" w:cs="宋体" w:asciiTheme="minorEastAsia" w:hAnsiTheme="minorEastAsia"/>
          <w:kern w:val="0"/>
          <w:szCs w:val="21"/>
          <w:lang w:eastAsia="zh-CN"/>
        </w:rPr>
        <w:t>，</w:t>
      </w:r>
      <w:r>
        <w:rPr>
          <w:rFonts w:hint="eastAsia" w:cs="宋体" w:asciiTheme="minorEastAsia" w:hAnsiTheme="minorEastAsia"/>
          <w:kern w:val="0"/>
          <w:szCs w:val="21"/>
        </w:rPr>
        <w:t>体系运行一年来未有新增测量过程，对高度控制的测量过程能进行有效性控制、监视，记录、监视控制图齐全，完整；抽查了</w:t>
      </w:r>
      <w:r>
        <w:rPr>
          <w:rFonts w:hint="eastAsia"/>
        </w:rPr>
        <w:t>灯杆上口外径测试过程</w:t>
      </w:r>
      <w:r>
        <w:rPr>
          <w:rFonts w:hint="eastAsia" w:cs="宋体" w:asciiTheme="minorEastAsia" w:hAnsiTheme="minorEastAsia"/>
          <w:kern w:val="0"/>
          <w:szCs w:val="21"/>
        </w:rPr>
        <w:t>控制的监视记录，见附页：测量过程监视统计记录表及监视控制图。</w:t>
      </w:r>
    </w:p>
    <w:p>
      <w:pPr>
        <w:widowControl/>
        <w:spacing w:line="440" w:lineRule="exact"/>
        <w:rPr>
          <w:rFonts w:cs="宋体" w:asciiTheme="minorEastAsia" w:hAnsiTheme="minorEastAsia"/>
          <w:bCs/>
          <w:kern w:val="0"/>
          <w:szCs w:val="21"/>
        </w:rPr>
      </w:pPr>
      <w:r>
        <w:rPr>
          <w:rFonts w:hint="eastAsia" w:asciiTheme="minorEastAsia" w:hAnsiTheme="minorEastAsia"/>
          <w:bCs/>
          <w:szCs w:val="21"/>
        </w:rPr>
        <w:t>5.对认证审核时提出的不符合项的纠正措施情况有表述</w:t>
      </w:r>
      <w:r>
        <w:rPr>
          <w:rFonts w:cs="宋体" w:asciiTheme="minorEastAsia" w:hAnsiTheme="minorEastAsia"/>
          <w:bCs/>
          <w:kern w:val="0"/>
          <w:szCs w:val="21"/>
        </w:rPr>
        <w:t>：</w:t>
      </w:r>
    </w:p>
    <w:p>
      <w:pPr>
        <w:spacing w:line="440" w:lineRule="exact"/>
        <w:ind w:firstLine="420" w:firstLineChars="200"/>
        <w:jc w:val="left"/>
        <w:rPr>
          <w:rFonts w:hint="eastAsia" w:cs="宋体"/>
          <w:kern w:val="0"/>
          <w:lang w:eastAsia="zh-CN"/>
        </w:rPr>
      </w:pPr>
      <w:r>
        <w:rPr>
          <w:rFonts w:hint="eastAsia" w:cs="宋体"/>
          <w:kern w:val="0"/>
        </w:rPr>
        <w:t>公司已针对上一年度开具的不符合项</w:t>
      </w:r>
      <w:r>
        <w:rPr>
          <w:rFonts w:hint="eastAsia" w:cs="宋体"/>
          <w:kern w:val="0"/>
          <w:lang w:eastAsia="zh-CN"/>
        </w:rPr>
        <w:t>：“</w:t>
      </w:r>
      <w:r>
        <w:rPr>
          <w:rFonts w:hint="eastAsia" w:ascii="宋体" w:hAnsi="宋体"/>
          <w:szCs w:val="21"/>
        </w:rPr>
        <w:t>太阳能组件I—V检测的测量软件</w:t>
      </w:r>
      <w:r>
        <w:rPr>
          <w:rFonts w:ascii="宋体" w:hAnsi="宋体"/>
          <w:szCs w:val="21"/>
        </w:rPr>
        <w:t>solar simulator</w:t>
      </w:r>
      <w:r>
        <w:rPr>
          <w:rFonts w:hint="eastAsia" w:ascii="宋体" w:hAnsi="宋体"/>
          <w:szCs w:val="21"/>
          <w:lang w:eastAsia="zh-CN"/>
        </w:rPr>
        <w:t>，</w:t>
      </w:r>
      <w:r>
        <w:rPr>
          <w:rFonts w:hint="eastAsia" w:ascii="宋体" w:hAnsi="宋体"/>
          <w:szCs w:val="21"/>
          <w:lang w:val="en-US" w:eastAsia="zh-CN"/>
        </w:rPr>
        <w:t>未进行</w:t>
      </w:r>
      <w:r>
        <w:rPr>
          <w:rFonts w:hint="eastAsia" w:ascii="宋体" w:hAnsi="宋体"/>
          <w:szCs w:val="21"/>
        </w:rPr>
        <w:t>确认</w:t>
      </w:r>
      <w:r>
        <w:rPr>
          <w:rFonts w:hint="eastAsia" w:ascii="宋体" w:hAnsi="宋体"/>
          <w:szCs w:val="21"/>
          <w:lang w:eastAsia="zh-CN"/>
        </w:rPr>
        <w:t>未见</w:t>
      </w:r>
      <w:r>
        <w:rPr>
          <w:rFonts w:hint="eastAsia" w:ascii="宋体" w:hAnsi="宋体"/>
          <w:szCs w:val="21"/>
        </w:rPr>
        <w:t>测试记录</w:t>
      </w:r>
      <w:r>
        <w:rPr>
          <w:rFonts w:hint="eastAsia" w:cs="宋体"/>
          <w:kern w:val="0"/>
          <w:lang w:eastAsia="zh-CN"/>
        </w:rPr>
        <w:t>”，</w:t>
      </w:r>
      <w:r>
        <w:rPr>
          <w:rFonts w:hint="eastAsia" w:cs="宋体"/>
          <w:kern w:val="0"/>
        </w:rPr>
        <w:t>已采取有效措施，已关闭。</w:t>
      </w:r>
    </w:p>
    <w:p>
      <w:pPr>
        <w:pStyle w:val="9"/>
        <w:widowControl/>
        <w:numPr>
          <w:ilvl w:val="0"/>
          <w:numId w:val="0"/>
        </w:numPr>
        <w:spacing w:line="276"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400" w:lineRule="exact"/>
        <w:ind w:firstLine="420" w:firstLineChars="200"/>
        <w:rPr>
          <w:rFonts w:hint="eastAsia" w:cs="宋体" w:asciiTheme="minorEastAsia" w:hAnsiTheme="minorEastAsia"/>
          <w:kern w:val="0"/>
          <w:szCs w:val="21"/>
          <w:lang w:eastAsia="zh-CN"/>
        </w:rPr>
      </w:pPr>
      <w:r>
        <w:rPr>
          <w:rFonts w:hint="eastAsia" w:cs="宋体" w:asciiTheme="minorEastAsia" w:hAnsiTheme="minorEastAsia"/>
          <w:kern w:val="0"/>
          <w:szCs w:val="21"/>
        </w:rPr>
        <w:t>该公司不属于重点能耗企业</w:t>
      </w:r>
      <w:r>
        <w:rPr>
          <w:rFonts w:hint="eastAsia" w:cs="宋体" w:asciiTheme="minorEastAsia" w:hAnsiTheme="minorEastAsia"/>
          <w:kern w:val="0"/>
          <w:szCs w:val="21"/>
          <w:lang w:eastAsia="zh-CN"/>
        </w:rPr>
        <w:t>，</w:t>
      </w:r>
      <w:r>
        <w:rPr>
          <w:rFonts w:hint="eastAsia" w:cs="宋体" w:asciiTheme="minorEastAsia" w:hAnsiTheme="minorEastAsia"/>
          <w:kern w:val="0"/>
          <w:szCs w:val="21"/>
        </w:rPr>
        <w:t>已经按要求统计公司水电气总能耗</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2019年全年能耗：90吨标准煤；</w:t>
      </w:r>
      <w:r>
        <w:rPr>
          <w:rFonts w:hint="eastAsia" w:cs="宋体" w:asciiTheme="minorEastAsia" w:hAnsiTheme="minorEastAsia"/>
          <w:kern w:val="0"/>
          <w:szCs w:val="21"/>
          <w:lang w:eastAsia="zh-CN"/>
        </w:rPr>
        <w:t>能源计量器具已建台账，纳入测量管理体系管理。</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spacing w:line="440" w:lineRule="exact"/>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公司《计量工作质量目标管理程序》，规定了公司的计量方针及5项质量目标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400" w:lineRule="exact"/>
        <w:rPr>
          <w:rFonts w:hint="eastAsia" w:eastAsia="宋体" w:cs="宋体" w:asciiTheme="minorEastAsia" w:hAnsiTheme="minorEastAsia"/>
          <w:b/>
          <w:bCs/>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本次监督审核未发现不符合项或系统性的不符合情况</w:t>
      </w:r>
      <w:r>
        <w:rPr>
          <w:rFonts w:hint="eastAsia" w:ascii="宋体" w:hAnsi="宋体" w:eastAsia="宋体" w:cs="宋体"/>
          <w:kern w:val="0"/>
          <w:szCs w:val="21"/>
          <w:lang w:eastAsia="zh-CN"/>
        </w:rPr>
        <w:t>；</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hint="eastAsia"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4</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7</w:t>
      </w:r>
      <w:r>
        <w:rPr>
          <w:rFonts w:hint="eastAsia" w:ascii="宋体" w:hAnsi="宋体" w:eastAsia="宋体" w:cs="宋体"/>
          <w:bCs/>
          <w:kern w:val="0"/>
          <w:szCs w:val="21"/>
        </w:rPr>
        <w:t>日对</w:t>
      </w:r>
      <w:r>
        <w:rPr>
          <w:rFonts w:hint="eastAsia" w:cs="宋体" w:asciiTheme="minorEastAsia" w:hAnsiTheme="minorEastAsia"/>
          <w:kern w:val="0"/>
          <w:szCs w:val="21"/>
        </w:rPr>
        <w:t>四川太一新能源开发有限公司</w:t>
      </w:r>
      <w:r>
        <w:rPr>
          <w:rFonts w:hint="eastAsia" w:ascii="宋体" w:hAnsi="宋体" w:eastAsia="宋体" w:cs="宋体"/>
          <w:bCs/>
          <w:kern w:val="0"/>
          <w:szCs w:val="21"/>
        </w:rPr>
        <w:t>建立的测量管理体系进行</w:t>
      </w:r>
      <w:r>
        <w:rPr>
          <w:rFonts w:hint="eastAsia" w:ascii="宋体" w:hAnsi="宋体" w:eastAsia="宋体" w:cs="宋体"/>
          <w:bCs/>
          <w:kern w:val="0"/>
          <w:szCs w:val="21"/>
          <w:lang w:val="en-US" w:eastAsia="zh-CN"/>
        </w:rPr>
        <w:t>的远程</w:t>
      </w:r>
      <w:r>
        <w:rPr>
          <w:rFonts w:hint="eastAsia" w:ascii="宋体" w:hAnsi="宋体" w:eastAsia="宋体" w:cs="宋体"/>
          <w:bCs/>
          <w:kern w:val="0"/>
          <w:szCs w:val="21"/>
        </w:rPr>
        <w:t>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w:t>
      </w:r>
      <w:r>
        <w:rPr>
          <w:rFonts w:hint="eastAsia" w:ascii="宋体" w:hAnsi="宋体" w:eastAsia="宋体" w:cs="宋体"/>
          <w:bCs/>
          <w:kern w:val="0"/>
          <w:szCs w:val="21"/>
          <w:lang w:val="en-US" w:eastAsia="zh-CN"/>
        </w:rPr>
        <w:t>2019年</w:t>
      </w:r>
      <w:r>
        <w:rPr>
          <w:rFonts w:hint="eastAsia" w:ascii="宋体" w:hAnsi="宋体" w:eastAsia="宋体" w:cs="宋体"/>
          <w:bCs/>
          <w:kern w:val="0"/>
          <w:szCs w:val="21"/>
        </w:rPr>
        <w:t>运行更加完善和规范，使公司测量体系持续满足顾客的测量要求。经审核表明，四川太一新能源开发有限公司</w:t>
      </w:r>
      <w:r>
        <w:rPr>
          <w:rFonts w:hint="eastAsia" w:ascii="宋体" w:hAnsi="宋体" w:eastAsia="宋体" w:cs="宋体"/>
          <w:bCs/>
          <w:kern w:val="0"/>
          <w:szCs w:val="21"/>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Fonts w:hint="eastAsia" w:ascii="宋体" w:hAnsi="宋体" w:eastAsia="宋体" w:cs="宋体"/>
          <w:bCs/>
          <w:kern w:val="0"/>
          <w:szCs w:val="21"/>
        </w:rPr>
      </w:pPr>
      <w:r>
        <w:rPr>
          <w:rFonts w:hint="eastAsia" w:ascii="宋体" w:hAnsi="宋体" w:eastAsia="宋体" w:cs="宋体"/>
          <w:bCs/>
          <w:kern w:val="0"/>
          <w:szCs w:val="21"/>
        </w:rPr>
        <w:t>为了促进支持企业测量管理体系持续提高，建议企业加强加强对重要、关键测量过程的识别、控制工作，使测量管理体系能够更加有效地发挥作用。</w:t>
      </w:r>
    </w:p>
    <w:p>
      <w:pPr>
        <w:widowControl/>
        <w:spacing w:line="276" w:lineRule="auto"/>
        <w:rPr>
          <w:rFonts w:hint="eastAsia" w:cs="宋体" w:asciiTheme="minorEastAsia" w:hAnsiTheme="minorEastAsia"/>
          <w:bCs/>
          <w:kern w:val="0"/>
          <w:szCs w:val="21"/>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both"/>
        <w:rPr>
          <w:rFonts w:hint="eastAsia" w:ascii="宋体" w:hAnsi="宋体" w:eastAsia="宋体" w:cs="宋体"/>
          <w:kern w:val="0"/>
          <w:szCs w:val="28"/>
          <w:lang w:val="en-US" w:eastAsia="zh-CN"/>
        </w:rPr>
      </w:pPr>
      <w:r>
        <w:rPr>
          <w:rFonts w:hint="eastAsia" w:ascii="宋体" w:hAnsi="宋体" w:eastAsiaTheme="minorEastAsia"/>
          <w:szCs w:val="21"/>
          <w:lang w:eastAsia="zh-CN"/>
        </w:rPr>
        <w:drawing>
          <wp:anchor distT="0" distB="0" distL="114300" distR="114300" simplePos="0" relativeHeight="251740160" behindDoc="0" locked="0" layoutInCell="1" allowOverlap="1">
            <wp:simplePos x="0" y="0"/>
            <wp:positionH relativeFrom="column">
              <wp:posOffset>3970655</wp:posOffset>
            </wp:positionH>
            <wp:positionV relativeFrom="paragraph">
              <wp:posOffset>131445</wp:posOffset>
            </wp:positionV>
            <wp:extent cx="767715" cy="329565"/>
            <wp:effectExtent l="0" t="0" r="6985" b="635"/>
            <wp:wrapNone/>
            <wp:docPr id="34" name="图片 34" descr="d024a11fa5ca45816ea93fbabb84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d024a11fa5ca45816ea93fbabb84e2f"/>
                    <pic:cNvPicPr>
                      <a:picLocks noChangeAspect="1"/>
                    </pic:cNvPicPr>
                  </pic:nvPicPr>
                  <pic:blipFill>
                    <a:blip r:embed="rId6"/>
                    <a:stretch>
                      <a:fillRect/>
                    </a:stretch>
                  </pic:blipFill>
                  <pic:spPr>
                    <a:xfrm>
                      <a:off x="0" y="0"/>
                      <a:ext cx="767715" cy="32956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3281680</wp:posOffset>
            </wp:positionH>
            <wp:positionV relativeFrom="paragraph">
              <wp:posOffset>100965</wp:posOffset>
            </wp:positionV>
            <wp:extent cx="412115" cy="326390"/>
            <wp:effectExtent l="0" t="0" r="698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12115" cy="326390"/>
                    </a:xfrm>
                    <a:prstGeom prst="rect">
                      <a:avLst/>
                    </a:prstGeom>
                    <a:noFill/>
                    <a:ln>
                      <a:noFill/>
                    </a:ln>
                  </pic:spPr>
                </pic:pic>
              </a:graphicData>
            </a:graphic>
          </wp:anchor>
        </w:drawing>
      </w: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 xml:space="preserve">                                     </w:t>
      </w:r>
    </w:p>
    <w:p>
      <w:pPr>
        <w:widowControl/>
        <w:spacing w:line="276" w:lineRule="auto"/>
        <w:ind w:right="1365" w:firstLine="4200" w:firstLineChars="2000"/>
        <w:rPr>
          <w:rFonts w:hint="default" w:ascii="宋体" w:hAnsi="宋体" w:eastAsia="宋体" w:cs="宋体"/>
          <w:b/>
          <w:bCs/>
          <w:kern w:val="0"/>
          <w:szCs w:val="21"/>
          <w:lang w:val="en-US" w:eastAsia="zh-CN"/>
        </w:rPr>
      </w:pPr>
      <w:r>
        <w:rPr>
          <w:rFonts w:hint="eastAsia" w:ascii="宋体" w:hAnsi="宋体" w:eastAsia="宋体" w:cs="宋体"/>
          <w:kern w:val="0"/>
          <w:szCs w:val="28"/>
        </w:rPr>
        <w:t xml:space="preserve"> 日期：</w:t>
      </w:r>
      <w:r>
        <w:rPr>
          <w:rFonts w:hint="eastAsia" w:ascii="宋体" w:hAnsi="宋体" w:eastAsia="宋体" w:cs="宋体"/>
          <w:b/>
          <w:bCs/>
          <w:kern w:val="0"/>
          <w:szCs w:val="21"/>
          <w:lang w:val="en-US" w:eastAsia="zh-CN"/>
        </w:rPr>
        <w:t xml:space="preserve"> 2020.4.7</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numPr>
          <w:ilvl w:val="0"/>
          <w:numId w:val="2"/>
        </w:numPr>
        <w:spacing w:line="276" w:lineRule="auto"/>
        <w:ind w:right="1050"/>
        <w:rPr>
          <w:rFonts w:hint="eastAsia" w:ascii="宋体" w:hAnsi="宋体" w:eastAsia="宋体" w:cs="宋体"/>
          <w:kern w:val="0"/>
          <w:szCs w:val="28"/>
          <w:lang w:val="en-US" w:eastAsia="zh-CN"/>
        </w:rPr>
      </w:pP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lang w:val="en-US" w:eastAsia="zh-CN"/>
        </w:rPr>
        <w:t xml:space="preserve">  </w:t>
      </w:r>
    </w:p>
    <w:p>
      <w:pPr>
        <w:widowControl/>
        <w:numPr>
          <w:ilvl w:val="0"/>
          <w:numId w:val="0"/>
        </w:numPr>
        <w:spacing w:line="276" w:lineRule="auto"/>
        <w:ind w:right="1050" w:rightChars="0" w:firstLine="420" w:firstLineChars="200"/>
        <w:rPr>
          <w:rFonts w:ascii="宋体" w:hAnsi="宋体" w:eastAsia="宋体" w:cs="宋体"/>
          <w:kern w:val="0"/>
          <w:szCs w:val="28"/>
        </w:rPr>
      </w:pPr>
    </w:p>
    <w:p>
      <w:pPr>
        <w:widowControl/>
        <w:numPr>
          <w:ilvl w:val="0"/>
          <w:numId w:val="0"/>
        </w:numPr>
        <w:spacing w:line="276" w:lineRule="auto"/>
        <w:ind w:right="1050" w:rightChars="0" w:firstLine="420" w:firstLineChars="200"/>
        <w:rPr>
          <w:rFonts w:ascii="宋体" w:hAnsi="宋体" w:eastAsia="宋体" w:cs="宋体"/>
          <w:kern w:val="0"/>
          <w:szCs w:val="28"/>
        </w:rPr>
      </w:pPr>
    </w:p>
    <w:p>
      <w:pPr>
        <w:widowControl/>
        <w:numPr>
          <w:ilvl w:val="0"/>
          <w:numId w:val="0"/>
        </w:numPr>
        <w:spacing w:line="276" w:lineRule="auto"/>
        <w:ind w:right="1050" w:rightChars="0" w:firstLine="6300" w:firstLineChars="3000"/>
        <w:rPr>
          <w:rFonts w:ascii="宋体" w:hAnsi="宋体" w:eastAsia="宋体" w:cs="宋体"/>
          <w:kern w:val="0"/>
          <w:szCs w:val="28"/>
        </w:rPr>
      </w:pP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6"/>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161B"/>
    <w:multiLevelType w:val="singleLevel"/>
    <w:tmpl w:val="07F8161B"/>
    <w:lvl w:ilvl="0" w:tentative="0">
      <w:start w:val="5"/>
      <w:numFmt w:val="chineseCounting"/>
      <w:suff w:val="space"/>
      <w:lvlText w:val="%1、"/>
      <w:lvlJc w:val="left"/>
      <w:rPr>
        <w:rFonts w:hint="eastAsia"/>
      </w:rPr>
    </w:lvl>
  </w:abstractNum>
  <w:abstractNum w:abstractNumId="1">
    <w:nsid w:val="3B8A5D12"/>
    <w:multiLevelType w:val="multilevel"/>
    <w:tmpl w:val="3B8A5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597D05"/>
    <w:rsid w:val="38101F34"/>
    <w:rsid w:val="6A0545EC"/>
    <w:rsid w:val="73923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3</TotalTime>
  <ScaleCrop>false</ScaleCrop>
  <LinksUpToDate>false</LinksUpToDate>
  <CharactersWithSpaces>540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2020-04-25T07:40:30Z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