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安徽鑫梁模架科技有限公司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Q:17.06.01,17.12.03</w:t>
            </w:r>
          </w:p>
          <w:p>
            <w:pPr>
              <w:spacing w:line="240" w:lineRule="exact"/>
              <w:jc w:val="center"/>
              <w:rPr>
                <w:b/>
                <w:color w:val="000000" w:themeColor="text1"/>
                <w:sz w:val="20"/>
                <w:szCs w:val="20"/>
              </w:rPr>
            </w:pPr>
            <w:r>
              <w:rPr>
                <w:b/>
                <w:color w:val="000000" w:themeColor="text1"/>
                <w:sz w:val="20"/>
                <w:szCs w:val="20"/>
              </w:rPr>
              <w:t>O:17.06.01,17.12.03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b/>
          <w:color w:val="000000"/>
          <w:spacing w:val="-4"/>
          <w:sz w:val="20"/>
          <w:szCs w:val="20"/>
        </w:rPr>
      </w:pPr>
      <w:r>
        <w:rPr>
          <w:rFonts w:hint="eastAsia" w:ascii="宋体" w:hAnsi="宋体"/>
          <w:b/>
          <w:color w:val="000000" w:themeColor="text1"/>
          <w:sz w:val="26"/>
          <w:szCs w:val="26"/>
        </w:rPr>
        <w:t>审核准则</w:t>
      </w:r>
      <w:bookmarkStart w:id="4" w:name="审核依据"/>
    </w:p>
    <w:p>
      <w:pPr>
        <w:pStyle w:val="12"/>
        <w:numPr>
          <w:ilvl w:val="0"/>
          <w:numId w:val="0"/>
        </w:numPr>
        <w:ind w:left="-851" w:leftChars="0"/>
        <w:jc w:val="both"/>
        <w:rPr>
          <w:rFonts w:hint="eastAsia" w:ascii="宋体" w:hAnsi="宋体"/>
          <w:b/>
          <w:color w:val="000000" w:themeColor="text1"/>
          <w:spacing w:val="-10"/>
          <w:sz w:val="20"/>
          <w:szCs w:val="20"/>
          <w:lang w:eastAsia="zh-CN"/>
        </w:rPr>
      </w:pPr>
      <w:r>
        <w:rPr>
          <w:rFonts w:hint="eastAsia" w:ascii="宋体" w:hAnsi="宋体"/>
          <w:b/>
          <w:color w:val="000000" w:themeColor="text1"/>
          <w:spacing w:val="-10"/>
          <w:sz w:val="20"/>
          <w:szCs w:val="20"/>
        </w:rPr>
        <w:t>Q：GB/T 19001-2016idtISO 9001:2015,O：GB/T45001—2020/ISO 45001:2018</w:t>
      </w:r>
      <w:bookmarkEnd w:id="4"/>
    </w:p>
    <w:p>
      <w:pPr>
        <w:pStyle w:val="12"/>
        <w:numPr>
          <w:ilvl w:val="0"/>
          <w:numId w:val="0"/>
        </w:numPr>
        <w:ind w:left="-851" w:leftChars="0"/>
        <w:jc w:val="both"/>
        <w:rPr>
          <w:rFonts w:ascii="宋体"/>
          <w:b/>
          <w:color w:val="000000"/>
          <w:spacing w:val="-4"/>
          <w:sz w:val="20"/>
          <w:szCs w:val="20"/>
        </w:rPr>
      </w:pP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eastAsia="zh-CN"/>
        </w:rPr>
        <w:t>；</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jc w:val="left"/>
        <w:rPr>
          <w:rFonts w:hint="eastAsia" w:ascii="宋体" w:hAnsi="宋体" w:eastAsia="宋体"/>
          <w:b/>
          <w:color w:val="000000" w:themeColor="text1"/>
          <w:spacing w:val="-10"/>
          <w:sz w:val="20"/>
          <w:szCs w:val="20"/>
          <w:lang w:eastAsia="zh-CN"/>
        </w:rPr>
      </w:pPr>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安徽鑫梁模架科技有限公司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安徽省阜阳市太和县城关镇工业园东区工二路与兴业路交叉路口西侧</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安徽省阜阳市太和县城关镇工业园东区工二路与兴业路交叉路口西侧</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236600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13615679179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丁荟荟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Q：装配式安全梯笼、安全通道设备、临边防护栏制造</w:t>
            </w:r>
          </w:p>
          <w:p>
            <w:pPr>
              <w:spacing w:line="320" w:lineRule="exact"/>
              <w:rPr>
                <w:rFonts w:ascii="宋体" w:hAnsi="宋体"/>
                <w:b/>
                <w:color w:val="000000" w:themeColor="text1"/>
                <w:sz w:val="20"/>
                <w:szCs w:val="20"/>
              </w:rPr>
            </w:pPr>
            <w:r>
              <w:rPr>
                <w:rFonts w:ascii="宋体" w:hAnsi="宋体"/>
                <w:b/>
                <w:color w:val="000000" w:themeColor="text1"/>
                <w:sz w:val="20"/>
                <w:szCs w:val="20"/>
              </w:rPr>
              <w:t>O：装配式安全梯笼、安全通道设备、临边防护栏制造及相关职业健康安全管理活动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Q：17.06.01;17.12.03</w:t>
            </w:r>
          </w:p>
          <w:p>
            <w:pPr>
              <w:spacing w:line="320" w:lineRule="exact"/>
              <w:rPr>
                <w:rFonts w:ascii="宋体" w:hAnsi="宋体"/>
                <w:b/>
                <w:color w:val="000000" w:themeColor="text1"/>
                <w:sz w:val="20"/>
                <w:szCs w:val="20"/>
              </w:rPr>
            </w:pPr>
            <w:r>
              <w:rPr>
                <w:rFonts w:ascii="宋体" w:hAnsi="宋体"/>
                <w:b/>
                <w:color w:val="000000" w:themeColor="text1"/>
                <w:sz w:val="20"/>
                <w:szCs w:val="20"/>
              </w:rPr>
              <w:t>O：17.06.01;17.12.03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2019-10-17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高管层</w:t>
            </w:r>
          </w:p>
        </w:tc>
        <w:tc>
          <w:tcPr>
            <w:tcW w:w="6804" w:type="dxa"/>
            <w:vAlign w:val="top"/>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安全事务代表</w:t>
            </w:r>
          </w:p>
        </w:tc>
        <w:tc>
          <w:tcPr>
            <w:tcW w:w="6804" w:type="dxa"/>
            <w:vAlign w:val="top"/>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生产部（含质检科）</w:t>
            </w:r>
          </w:p>
        </w:tc>
        <w:tc>
          <w:tcPr>
            <w:tcW w:w="6804" w:type="dxa"/>
            <w:vAlign w:val="top"/>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策划、实施、放行、交付等质量、环境职业健康安全运行控制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综合部（含财务）</w:t>
            </w:r>
          </w:p>
        </w:tc>
        <w:tc>
          <w:tcPr>
            <w:tcW w:w="6804" w:type="dxa"/>
            <w:vAlign w:val="top"/>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供销部</w:t>
            </w:r>
          </w:p>
        </w:tc>
        <w:tc>
          <w:tcPr>
            <w:tcW w:w="6804" w:type="dxa"/>
            <w:vAlign w:val="top"/>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与客户、供方提供材料和服务，质量、环境职业健康安全职业健康安全运行控制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auto"/>
                <w:sz w:val="21"/>
                <w:szCs w:val="21"/>
              </w:rPr>
            </w:pPr>
            <w:r>
              <w:rPr>
                <w:rFonts w:hint="eastAsia"/>
                <w:b/>
                <w:color w:val="auto"/>
                <w:sz w:val="21"/>
                <w:szCs w:val="21"/>
              </w:rPr>
              <w:t>产品名称/</w:t>
            </w:r>
          </w:p>
          <w:p>
            <w:pPr>
              <w:rPr>
                <w:b/>
                <w:color w:val="auto"/>
                <w:sz w:val="21"/>
                <w:szCs w:val="21"/>
              </w:rPr>
            </w:pPr>
            <w:r>
              <w:rPr>
                <w:rFonts w:hint="eastAsia"/>
                <w:b/>
                <w:color w:val="auto"/>
                <w:sz w:val="21"/>
                <w:szCs w:val="21"/>
              </w:rPr>
              <w:t>服务名称</w:t>
            </w:r>
          </w:p>
        </w:tc>
        <w:tc>
          <w:tcPr>
            <w:tcW w:w="2519" w:type="dxa"/>
          </w:tcPr>
          <w:p>
            <w:pPr>
              <w:rPr>
                <w:b/>
                <w:color w:val="auto"/>
                <w:sz w:val="21"/>
                <w:szCs w:val="21"/>
              </w:rPr>
            </w:pPr>
            <w:r>
              <w:rPr>
                <w:rFonts w:hint="eastAsia"/>
                <w:b/>
                <w:color w:val="auto"/>
                <w:sz w:val="21"/>
                <w:szCs w:val="21"/>
              </w:rPr>
              <w:t>型号/</w:t>
            </w:r>
          </w:p>
          <w:p>
            <w:pPr>
              <w:rPr>
                <w:b/>
                <w:color w:val="auto"/>
                <w:sz w:val="21"/>
                <w:szCs w:val="21"/>
              </w:rPr>
            </w:pPr>
            <w:r>
              <w:rPr>
                <w:rFonts w:hint="eastAsia"/>
                <w:b/>
                <w:color w:val="auto"/>
                <w:sz w:val="21"/>
                <w:szCs w:val="21"/>
              </w:rPr>
              <w:t>服务类型</w:t>
            </w:r>
          </w:p>
        </w:tc>
        <w:tc>
          <w:tcPr>
            <w:tcW w:w="1843" w:type="dxa"/>
          </w:tcPr>
          <w:p>
            <w:pPr>
              <w:rPr>
                <w:b/>
                <w:color w:val="auto"/>
                <w:sz w:val="21"/>
                <w:szCs w:val="21"/>
              </w:rPr>
            </w:pPr>
            <w:r>
              <w:rPr>
                <w:rFonts w:hint="eastAsia"/>
                <w:b/>
                <w:color w:val="auto"/>
                <w:sz w:val="21"/>
                <w:szCs w:val="21"/>
              </w:rPr>
              <w:t>规格</w:t>
            </w:r>
          </w:p>
        </w:tc>
        <w:tc>
          <w:tcPr>
            <w:tcW w:w="3543" w:type="dxa"/>
          </w:tcPr>
          <w:p>
            <w:pPr>
              <w:rPr>
                <w:b/>
                <w:color w:val="auto"/>
                <w:sz w:val="21"/>
                <w:szCs w:val="21"/>
              </w:rPr>
            </w:pPr>
            <w:r>
              <w:rPr>
                <w:rFonts w:hint="eastAsia"/>
                <w:b/>
                <w:color w:val="auto"/>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auto"/>
                <w:sz w:val="21"/>
                <w:szCs w:val="21"/>
              </w:rPr>
            </w:pPr>
            <w:r>
              <w:rPr>
                <w:sz w:val="20"/>
                <w:szCs w:val="20"/>
              </w:rPr>
              <w:t>装配式安全梯笼、安全通道设备、临边防护栏制造</w:t>
            </w:r>
          </w:p>
        </w:tc>
        <w:tc>
          <w:tcPr>
            <w:tcW w:w="2519" w:type="dxa"/>
          </w:tcPr>
          <w:p>
            <w:pPr>
              <w:rPr>
                <w:b/>
                <w:color w:val="auto"/>
                <w:sz w:val="21"/>
                <w:szCs w:val="21"/>
              </w:rPr>
            </w:pPr>
          </w:p>
        </w:tc>
        <w:tc>
          <w:tcPr>
            <w:tcW w:w="1843" w:type="dxa"/>
          </w:tcPr>
          <w:p>
            <w:pPr>
              <w:rPr>
                <w:b/>
                <w:color w:val="auto"/>
                <w:sz w:val="21"/>
                <w:szCs w:val="21"/>
              </w:rPr>
            </w:pPr>
          </w:p>
        </w:tc>
        <w:tc>
          <w:tcPr>
            <w:tcW w:w="3543" w:type="dxa"/>
          </w:tcPr>
          <w:p>
            <w:pPr>
              <w:rPr>
                <w:b/>
                <w:color w:val="auto"/>
                <w:sz w:val="21"/>
                <w:szCs w:val="21"/>
              </w:rPr>
            </w:pPr>
            <w:r>
              <w:rPr>
                <w:rFonts w:hint="eastAsia" w:asciiTheme="minorEastAsia" w:hAnsiTheme="minorEastAsia" w:eastAsiaTheme="minorEastAsia" w:cstheme="minorEastAsia"/>
                <w:b/>
                <w:bCs/>
                <w:color w:val="auto"/>
                <w:sz w:val="21"/>
                <w:szCs w:val="21"/>
              </w:rPr>
              <w:t>安徽鑫梁模架科技有限公司企业标准 Q/AHXL 12-2019。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auto"/>
                <w:sz w:val="21"/>
                <w:szCs w:val="21"/>
              </w:rPr>
            </w:pPr>
          </w:p>
        </w:tc>
        <w:tc>
          <w:tcPr>
            <w:tcW w:w="2519" w:type="dxa"/>
          </w:tcPr>
          <w:p>
            <w:pPr>
              <w:rPr>
                <w:b/>
                <w:color w:val="auto"/>
                <w:sz w:val="21"/>
                <w:szCs w:val="21"/>
              </w:rPr>
            </w:pPr>
          </w:p>
        </w:tc>
        <w:tc>
          <w:tcPr>
            <w:tcW w:w="1843" w:type="dxa"/>
          </w:tcPr>
          <w:p>
            <w:pPr>
              <w:rPr>
                <w:b/>
                <w:color w:val="auto"/>
                <w:sz w:val="21"/>
                <w:szCs w:val="21"/>
              </w:rPr>
            </w:pPr>
          </w:p>
        </w:tc>
        <w:tc>
          <w:tcPr>
            <w:tcW w:w="3543" w:type="dxa"/>
          </w:tcPr>
          <w:p>
            <w:pPr>
              <w:rPr>
                <w:b/>
                <w:color w:val="auto"/>
                <w:sz w:val="21"/>
                <w:szCs w:val="21"/>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2019-10-17</w:t>
      </w:r>
      <w:r>
        <w:rPr>
          <w:rFonts w:hint="eastAsia"/>
          <w:b/>
          <w:color w:val="000000" w:themeColor="text1"/>
          <w:spacing w:val="-10"/>
          <w:szCs w:val="21"/>
        </w:rPr>
        <w:t>至</w:t>
      </w:r>
      <w:r>
        <w:rPr>
          <w:rFonts w:hint="eastAsia"/>
          <w:b/>
          <w:color w:val="000000" w:themeColor="text1"/>
          <w:spacing w:val="-10"/>
          <w:szCs w:val="21"/>
          <w:lang w:val="en-US" w:eastAsia="zh-CN"/>
        </w:rPr>
        <w:t>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2"/>
              <w:ind w:firstLine="460" w:firstLineChars="200"/>
            </w:pPr>
            <w:r>
              <w:rPr>
                <w:rFonts w:hint="eastAsia"/>
                <w:color w:val="auto"/>
                <w:lang w:eastAsia="zh-CN"/>
              </w:rPr>
              <w:t>安徽鑫梁模架科技有限公司成立于2019年10月15日，注册地位于安徽省阜阳市太和县城关镇工业园东区工二路与兴业路交叉路口西侧，</w:t>
            </w:r>
            <w:r>
              <w:rPr>
                <w:rFonts w:hint="eastAsia"/>
                <w:color w:val="auto"/>
                <w:lang w:val="en-US" w:eastAsia="zh-CN"/>
              </w:rPr>
              <w:t>主要生产装配式安全梯笼、安全通道设备、临边防护栏制造及相关职业健康安全管理活动，公司根据自身实际进行内部因素和外部因素的识别、分析，查管理手册,基本符合。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ind w:firstLine="420" w:firstLineChars="200"/>
              <w:rPr>
                <w:rFonts w:hint="default"/>
              </w:rPr>
            </w:pPr>
            <w:r>
              <w:rPr>
                <w:rFonts w:hint="default"/>
              </w:rPr>
              <w:t>公司确定了与管理体系有关的相关方包括顾客、供方、员工、政府机关等。</w:t>
            </w:r>
          </w:p>
          <w:p>
            <w:r>
              <w:rPr>
                <w:rFonts w:hint="default"/>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宋体" w:hAnsi="宋体" w:cs="宋体"/>
                <w:b/>
                <w:color w:val="auto"/>
                <w:sz w:val="21"/>
                <w:szCs w:val="21"/>
              </w:rPr>
            </w:pPr>
            <w:r>
              <w:rPr>
                <w:rFonts w:hint="eastAsia"/>
                <w:color w:val="auto"/>
                <w:sz w:val="21"/>
                <w:szCs w:val="21"/>
              </w:rPr>
              <w:t>公司</w:t>
            </w:r>
            <w:r>
              <w:rPr>
                <w:rFonts w:hint="eastAsia" w:ascii="宋体" w:hAnsi="宋体" w:cs="宋体"/>
                <w:b/>
                <w:color w:val="auto"/>
                <w:sz w:val="21"/>
                <w:szCs w:val="21"/>
              </w:rPr>
              <w:t>管理方针：</w:t>
            </w:r>
          </w:p>
          <w:p>
            <w:pPr>
              <w:rPr>
                <w:color w:val="auto"/>
                <w:sz w:val="21"/>
                <w:szCs w:val="21"/>
              </w:rPr>
            </w:pPr>
            <w:r>
              <w:rPr>
                <w:rFonts w:hint="eastAsia"/>
                <w:color w:val="auto"/>
                <w:sz w:val="21"/>
                <w:szCs w:val="21"/>
              </w:rPr>
              <w:t>服务至诚，精益求精，保护环境，保障安全，管理规范，持续改进 质量目标</w:t>
            </w:r>
            <w:r>
              <w:rPr>
                <w:color w:val="auto"/>
                <w:sz w:val="21"/>
                <w:szCs w:val="21"/>
              </w:rPr>
              <w:t>。</w:t>
            </w:r>
          </w:p>
          <w:p>
            <w:pPr>
              <w:rPr>
                <w:rFonts w:hint="default"/>
                <w:color w:val="auto"/>
                <w:sz w:val="21"/>
                <w:szCs w:val="21"/>
                <w:vertAlign w:val="baseline"/>
                <w:lang w:val="en-US" w:eastAsia="zh-CN"/>
              </w:rPr>
            </w:pPr>
            <w:r>
              <w:rPr>
                <w:rFonts w:hint="eastAsia"/>
                <w:color w:val="auto"/>
                <w:sz w:val="21"/>
                <w:szCs w:val="21"/>
                <w:shd w:val="clear"/>
                <w:lang w:eastAsia="zh-CN"/>
              </w:rPr>
              <w:t>☑</w:t>
            </w:r>
            <w:r>
              <w:rPr>
                <w:rFonts w:hint="eastAsia"/>
                <w:color w:val="auto"/>
                <w:sz w:val="21"/>
                <w:szCs w:val="21"/>
                <w:vertAlign w:val="baseline"/>
                <w:lang w:val="en-US" w:eastAsia="zh-CN"/>
              </w:rPr>
              <w:t>在组织内得到沟通、理解和应用，通过：</w:t>
            </w:r>
            <w:r>
              <w:rPr>
                <w:rFonts w:hint="eastAsia"/>
                <w:color w:val="auto"/>
                <w:sz w:val="21"/>
                <w:szCs w:val="21"/>
                <w:lang w:val="en-US" w:eastAsia="zh-CN"/>
              </w:rPr>
              <w:sym w:font="Wingdings" w:char="00FE"/>
            </w:r>
            <w:r>
              <w:rPr>
                <w:rFonts w:hint="eastAsia"/>
                <w:color w:val="auto"/>
                <w:sz w:val="21"/>
                <w:szCs w:val="21"/>
                <w:vertAlign w:val="baseline"/>
                <w:lang w:val="en-US" w:eastAsia="zh-CN"/>
              </w:rPr>
              <w:t>展板</w:t>
            </w:r>
            <w:r>
              <w:rPr>
                <w:rFonts w:hint="eastAsia"/>
                <w:color w:val="auto"/>
                <w:sz w:val="21"/>
                <w:szCs w:val="21"/>
                <w:lang w:val="en-US" w:eastAsia="zh-CN"/>
              </w:rPr>
              <w:t xml:space="preserve">  </w:t>
            </w:r>
            <w:r>
              <w:rPr>
                <w:rFonts w:hint="eastAsia"/>
                <w:color w:val="auto"/>
                <w:sz w:val="21"/>
                <w:szCs w:val="21"/>
                <w:lang w:val="en-US" w:eastAsia="zh-CN"/>
              </w:rPr>
              <w:sym w:font="Wingdings" w:char="00FE"/>
            </w:r>
            <w:r>
              <w:rPr>
                <w:rFonts w:hint="eastAsia"/>
                <w:color w:val="auto"/>
                <w:sz w:val="21"/>
                <w:szCs w:val="21"/>
                <w:vertAlign w:val="baseline"/>
                <w:lang w:val="en-US" w:eastAsia="zh-CN"/>
              </w:rPr>
              <w:t>标语</w:t>
            </w:r>
            <w:r>
              <w:rPr>
                <w:rFonts w:hint="eastAsia"/>
                <w:color w:val="auto"/>
                <w:sz w:val="21"/>
                <w:szCs w:val="21"/>
                <w:lang w:val="en-US" w:eastAsia="zh-CN"/>
              </w:rPr>
              <w:t xml:space="preserve">  </w:t>
            </w:r>
            <w:r>
              <w:rPr>
                <w:rFonts w:hint="eastAsia"/>
                <w:color w:val="auto"/>
                <w:sz w:val="21"/>
                <w:szCs w:val="21"/>
                <w:lang w:val="en-US" w:eastAsia="zh-CN"/>
              </w:rPr>
              <w:sym w:font="Wingdings" w:char="00FE"/>
            </w:r>
            <w:r>
              <w:rPr>
                <w:rFonts w:hint="eastAsia"/>
                <w:color w:val="auto"/>
                <w:sz w:val="21"/>
                <w:szCs w:val="21"/>
                <w:lang w:val="en-US" w:eastAsia="zh-CN"/>
              </w:rPr>
              <w:t xml:space="preserve">会议  </w:t>
            </w:r>
            <w:r>
              <w:rPr>
                <w:rFonts w:hint="eastAsia"/>
                <w:color w:val="auto"/>
                <w:sz w:val="21"/>
                <w:szCs w:val="21"/>
                <w:lang w:val="en-US" w:eastAsia="zh-CN"/>
              </w:rPr>
              <w:sym w:font="Wingdings" w:char="00FE"/>
            </w:r>
            <w:r>
              <w:rPr>
                <w:rFonts w:hint="eastAsia"/>
                <w:color w:val="auto"/>
                <w:sz w:val="21"/>
                <w:szCs w:val="21"/>
                <w:lang w:val="en-US" w:eastAsia="zh-CN"/>
              </w:rPr>
              <w:t xml:space="preserve">文件发放   </w:t>
            </w:r>
            <w:r>
              <w:rPr>
                <w:rFonts w:hint="eastAsia"/>
                <w:color w:val="auto"/>
                <w:sz w:val="21"/>
                <w:szCs w:val="21"/>
                <w:lang w:val="en-US" w:eastAsia="zh-CN"/>
              </w:rPr>
              <w:sym w:font="Wingdings" w:char="00FE"/>
            </w:r>
            <w:r>
              <w:rPr>
                <w:rFonts w:hint="eastAsia"/>
                <w:color w:val="auto"/>
                <w:sz w:val="21"/>
                <w:szCs w:val="21"/>
                <w:lang w:val="en-US" w:eastAsia="zh-CN"/>
              </w:rPr>
              <w:t>其他</w:t>
            </w:r>
            <w:r>
              <w:rPr>
                <w:rFonts w:hint="eastAsia"/>
                <w:color w:val="auto"/>
                <w:sz w:val="21"/>
                <w:szCs w:val="21"/>
                <w:vertAlign w:val="baseline"/>
                <w:lang w:val="en-US" w:eastAsia="zh-CN"/>
              </w:rPr>
              <w:t xml:space="preserve">  </w:t>
            </w:r>
          </w:p>
          <w:p>
            <w:pPr>
              <w:spacing w:line="240" w:lineRule="exact"/>
              <w:ind w:left="199" w:leftChars="95"/>
              <w:rPr>
                <w:b/>
                <w:color w:val="000000" w:themeColor="text1"/>
              </w:rPr>
            </w:pPr>
            <w:r>
              <w:rPr>
                <w:rFonts w:hint="eastAsia"/>
                <w:color w:val="auto"/>
                <w:sz w:val="21"/>
                <w:szCs w:val="21"/>
                <w:shd w:val="clear"/>
                <w:lang w:eastAsia="zh-CN"/>
              </w:rPr>
              <w:t>☑</w:t>
            </w:r>
            <w:r>
              <w:rPr>
                <w:rFonts w:hint="eastAsia"/>
                <w:color w:val="auto"/>
                <w:sz w:val="21"/>
                <w:szCs w:val="21"/>
                <w:vertAlign w:val="baseline"/>
                <w:lang w:val="en-US" w:eastAsia="zh-CN"/>
              </w:rPr>
              <w:t>在相关方有需要时提供。通过：</w:t>
            </w:r>
            <w:r>
              <w:rPr>
                <w:rFonts w:hint="eastAsia"/>
                <w:color w:val="auto"/>
                <w:sz w:val="21"/>
                <w:szCs w:val="21"/>
                <w:lang w:val="en-US" w:eastAsia="zh-CN"/>
              </w:rPr>
              <w:sym w:font="Wingdings" w:char="00FE"/>
            </w:r>
            <w:r>
              <w:rPr>
                <w:rFonts w:hint="eastAsia"/>
                <w:color w:val="auto"/>
                <w:sz w:val="21"/>
                <w:szCs w:val="21"/>
                <w:lang w:val="en-US" w:eastAsia="zh-CN"/>
              </w:rPr>
              <w:t xml:space="preserve">网站 </w:t>
            </w:r>
            <w:r>
              <w:rPr>
                <w:rFonts w:hint="eastAsia"/>
                <w:color w:val="auto"/>
                <w:sz w:val="21"/>
                <w:szCs w:val="21"/>
                <w:lang w:val="en-US" w:eastAsia="zh-CN"/>
              </w:rPr>
              <w:sym w:font="Wingdings" w:char="00FE"/>
            </w:r>
            <w:r>
              <w:rPr>
                <w:rFonts w:hint="eastAsia"/>
                <w:color w:val="auto"/>
                <w:sz w:val="21"/>
                <w:szCs w:val="21"/>
                <w:lang w:val="en-US" w:eastAsia="zh-CN"/>
              </w:rPr>
              <w:t xml:space="preserve">宣传册 </w:t>
            </w:r>
            <w:r>
              <w:rPr>
                <w:rFonts w:hint="eastAsia"/>
                <w:color w:val="auto"/>
                <w:sz w:val="21"/>
                <w:szCs w:val="21"/>
                <w:lang w:val="en-US" w:eastAsia="zh-CN"/>
              </w:rPr>
              <w:sym w:font="Wingdings" w:char="00FE"/>
            </w:r>
            <w:r>
              <w:rPr>
                <w:rFonts w:hint="eastAsia"/>
                <w:color w:val="auto"/>
                <w:sz w:val="21"/>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pStyle w:val="2"/>
              <w:numPr>
                <w:ilvl w:val="0"/>
                <w:numId w:val="0"/>
              </w:numPr>
              <w:ind w:leftChars="0" w:firstLine="460" w:firstLineChars="200"/>
              <w:rPr>
                <w:rFonts w:hint="eastAsia"/>
                <w:lang w:eastAsia="zh-CN"/>
              </w:rPr>
            </w:pPr>
            <w:r>
              <w:rPr>
                <w:rFonts w:hint="eastAsia"/>
                <w:color w:val="auto"/>
                <w:sz w:val="21"/>
                <w:szCs w:val="21"/>
              </w:rPr>
              <w:t>编制了风险和机遇控制</w:t>
            </w:r>
            <w:r>
              <w:rPr>
                <w:rFonts w:hint="eastAsia"/>
                <w:color w:val="auto"/>
                <w:sz w:val="21"/>
                <w:szCs w:val="21"/>
                <w:lang w:eastAsia="zh-CN"/>
              </w:rPr>
              <w:t>，</w:t>
            </w:r>
            <w:r>
              <w:rPr>
                <w:rFonts w:hint="eastAsia"/>
                <w:color w:val="auto"/>
                <w:sz w:val="21"/>
                <w:szCs w:val="21"/>
              </w:rPr>
              <w:t>查见《风险与机遇控制计划》，确定了组织需应对的风险和机遇。措施正在实施中。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宋体" w:hAnsi="宋体"/>
                <w:b/>
                <w:color w:val="000000" w:themeColor="text1"/>
                <w:sz w:val="21"/>
                <w:szCs w:val="21"/>
              </w:rPr>
            </w:pPr>
            <w:r>
              <w:rPr>
                <w:rFonts w:hint="eastAsia"/>
                <w:b/>
                <w:color w:val="000000" w:themeColor="text1"/>
                <w:sz w:val="20"/>
                <w:szCs w:val="20"/>
              </w:rPr>
              <w:t>5</w:t>
            </w:r>
            <w:r>
              <w:rPr>
                <w:rFonts w:hint="eastAsia"/>
                <w:b/>
                <w:color w:val="000000" w:themeColor="text1"/>
                <w:sz w:val="21"/>
                <w:szCs w:val="21"/>
              </w:rPr>
              <w:t>.</w:t>
            </w:r>
            <w:r>
              <w:rPr>
                <w:b/>
                <w:color w:val="000000" w:themeColor="text1"/>
                <w:sz w:val="21"/>
                <w:szCs w:val="21"/>
              </w:rPr>
              <w:t>QMS</w:t>
            </w:r>
            <w:r>
              <w:rPr>
                <w:rFonts w:hint="eastAsia" w:ascii="宋体" w:hAnsi="宋体"/>
                <w:b/>
                <w:color w:val="000000" w:themeColor="text1"/>
                <w:sz w:val="21"/>
                <w:szCs w:val="21"/>
              </w:rPr>
              <w:t>过程</w:t>
            </w:r>
          </w:p>
          <w:p>
            <w:pPr>
              <w:spacing w:line="300" w:lineRule="exact"/>
              <w:rPr>
                <w:rFonts w:hint="eastAsia" w:ascii="宋体" w:hAnsi="宋体" w:eastAsia="宋体" w:cs="Times New Roman"/>
                <w:b w:val="0"/>
                <w:bCs/>
                <w:color w:val="000000" w:themeColor="text1"/>
                <w:sz w:val="21"/>
                <w:szCs w:val="21"/>
              </w:rPr>
            </w:pPr>
            <w:r>
              <w:rPr>
                <w:rFonts w:hint="eastAsia" w:ascii="宋体" w:hAnsi="宋体" w:eastAsia="宋体" w:cs="Times New Roman"/>
                <w:b w:val="0"/>
                <w:bCs/>
                <w:color w:val="000000" w:themeColor="text1"/>
                <w:sz w:val="21"/>
                <w:szCs w:val="21"/>
              </w:rPr>
              <w:t>生产工艺流程：</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圆钢、角钢等</w:t>
            </w:r>
            <w:r>
              <w:rPr>
                <w:rFonts w:hint="eastAsia" w:ascii="宋体" w:hAnsi="宋体" w:eastAsia="宋体" w:cs="Times New Roman"/>
                <w:b w:val="0"/>
                <w:bCs/>
                <w:color w:val="000000" w:themeColor="text1"/>
                <w:sz w:val="21"/>
                <w:szCs w:val="21"/>
                <w:lang w:eastAsia="zh-CN"/>
              </w:rPr>
              <w:t>）</w:t>
            </w:r>
            <w:r>
              <w:rPr>
                <w:rFonts w:hint="eastAsia" w:ascii="宋体" w:hAnsi="宋体" w:eastAsia="宋体" w:cs="Times New Roman"/>
                <w:b w:val="0"/>
                <w:bCs/>
                <w:color w:val="000000" w:themeColor="text1"/>
                <w:sz w:val="21"/>
                <w:szCs w:val="21"/>
                <w:lang w:val="en-US" w:eastAsia="zh-CN"/>
              </w:rPr>
              <w:t>采购</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切割下料</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焊接</w:t>
            </w:r>
            <w:r>
              <w:rPr>
                <w:rFonts w:hint="eastAsia" w:ascii="宋体" w:hAnsi="宋体" w:eastAsia="宋体" w:cs="Times New Roman"/>
                <w:b w:val="0"/>
                <w:bCs/>
                <w:color w:val="000000" w:themeColor="text1"/>
                <w:sz w:val="21"/>
                <w:szCs w:val="21"/>
              </w:rPr>
              <w:t>→矫直→</w:t>
            </w:r>
            <w:r>
              <w:rPr>
                <w:rFonts w:hint="eastAsia" w:ascii="宋体" w:hAnsi="宋体" w:eastAsia="宋体" w:cs="Times New Roman"/>
                <w:b w:val="0"/>
                <w:bCs/>
                <w:color w:val="000000" w:themeColor="text1"/>
                <w:sz w:val="21"/>
                <w:szCs w:val="21"/>
                <w:lang w:val="en-US" w:eastAsia="zh-CN"/>
              </w:rPr>
              <w:t>喷涂</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装配调试</w:t>
            </w:r>
            <w:r>
              <w:rPr>
                <w:rFonts w:hint="eastAsia" w:ascii="宋体" w:hAnsi="宋体" w:eastAsia="宋体" w:cs="Times New Roman"/>
                <w:b w:val="0"/>
                <w:bCs/>
                <w:color w:val="000000" w:themeColor="text1"/>
                <w:sz w:val="21"/>
                <w:szCs w:val="21"/>
              </w:rPr>
              <w:t>→</w:t>
            </w:r>
            <w:r>
              <w:rPr>
                <w:rFonts w:hint="eastAsia" w:ascii="宋体" w:hAnsi="宋体" w:eastAsia="宋体" w:cs="Times New Roman"/>
                <w:b w:val="0"/>
                <w:bCs/>
                <w:color w:val="000000" w:themeColor="text1"/>
                <w:sz w:val="21"/>
                <w:szCs w:val="21"/>
                <w:lang w:val="en-US" w:eastAsia="zh-CN"/>
              </w:rPr>
              <w:t>最终</w:t>
            </w:r>
            <w:r>
              <w:rPr>
                <w:rFonts w:hint="eastAsia" w:ascii="宋体" w:hAnsi="宋体" w:eastAsia="宋体" w:cs="Times New Roman"/>
                <w:b w:val="0"/>
                <w:bCs/>
                <w:color w:val="000000" w:themeColor="text1"/>
                <w:sz w:val="21"/>
                <w:szCs w:val="21"/>
              </w:rPr>
              <w:t>检验→交付；</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 xml:space="preserve">关键过程：焊接、装配调试。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相关文件：“焊接工艺（作业指导书）”和安装调试工艺、安装/拆卸技术规范。</w:t>
            </w:r>
            <w:r>
              <w:rPr>
                <w:rFonts w:hint="eastAsia" w:ascii="宋体" w:hAnsi="宋体" w:eastAsia="宋体" w:cs="Times New Roman"/>
                <w:b w:val="0"/>
                <w:bCs/>
                <w:color w:val="000000" w:themeColor="text1"/>
                <w:sz w:val="21"/>
                <w:szCs w:val="21"/>
                <w:lang w:val="en-US" w:eastAsia="zh-CN"/>
              </w:rPr>
              <w:br w:type="textWrapping"/>
            </w:r>
            <w:r>
              <w:rPr>
                <w:rFonts w:hint="eastAsia" w:ascii="宋体" w:hAnsi="宋体" w:eastAsia="宋体" w:cs="Times New Roman"/>
                <w:b w:val="0"/>
                <w:bCs/>
                <w:color w:val="000000" w:themeColor="text1"/>
                <w:sz w:val="21"/>
                <w:szCs w:val="21"/>
                <w:lang w:val="en-US" w:eastAsia="zh-CN"/>
              </w:rPr>
              <w:t xml:space="preserve">需确认过程：焊接、喷涂   </w:t>
            </w:r>
          </w:p>
          <w:p>
            <w:pPr>
              <w:spacing w:line="300" w:lineRule="exact"/>
              <w:rPr>
                <w:rFonts w:hint="eastAsia" w:ascii="宋体" w:hAnsi="宋体" w:eastAsia="宋体" w:cs="Times New Roman"/>
                <w:b w:val="0"/>
                <w:bCs/>
                <w:color w:val="000000" w:themeColor="text1"/>
                <w:sz w:val="21"/>
                <w:szCs w:val="21"/>
                <w:lang w:val="en-US" w:eastAsia="zh-CN"/>
              </w:rPr>
            </w:pPr>
            <w:r>
              <w:rPr>
                <w:rFonts w:hint="eastAsia" w:ascii="宋体" w:hAnsi="宋体" w:eastAsia="宋体" w:cs="Times New Roman"/>
                <w:b w:val="0"/>
                <w:bCs/>
                <w:color w:val="000000" w:themeColor="text1"/>
                <w:sz w:val="21"/>
                <w:szCs w:val="21"/>
                <w:lang w:val="en-US" w:eastAsia="zh-CN"/>
              </w:rPr>
              <w:t>相关文件：“焊接工艺（作业指导书）”和“焊接、喷涂过程确认记录”</w:t>
            </w:r>
          </w:p>
          <w:p>
            <w:pPr>
              <w:spacing w:line="300" w:lineRule="exact"/>
              <w:rPr>
                <w:rFonts w:hint="eastAsia" w:ascii="宋体" w:hAnsi="宋体"/>
                <w:b/>
                <w:color w:val="000000" w:themeColor="text1"/>
                <w:sz w:val="21"/>
                <w:szCs w:val="21"/>
              </w:rPr>
            </w:pPr>
            <w:r>
              <w:rPr>
                <w:rFonts w:hint="eastAsia" w:ascii="宋体" w:hAnsi="宋体" w:eastAsia="宋体" w:cs="Times New Roman"/>
                <w:b w:val="0"/>
                <w:bCs/>
                <w:color w:val="000000" w:themeColor="text1"/>
                <w:sz w:val="21"/>
                <w:szCs w:val="21"/>
                <w:lang w:val="en-US" w:eastAsia="zh-CN"/>
              </w:rPr>
              <w:t>外包过程：喷涂    见：外包协议</w:t>
            </w:r>
          </w:p>
          <w:p>
            <w:pPr>
              <w:tabs>
                <w:tab w:val="left" w:pos="540"/>
              </w:tabs>
              <w:spacing w:line="300" w:lineRule="exact"/>
              <w:ind w:left="201" w:hanging="211" w:hangingChars="100"/>
              <w:rPr>
                <w:rFonts w:ascii="宋体" w:hAnsi="宋体"/>
                <w:b/>
                <w:color w:val="000000" w:themeColor="text1"/>
                <w:szCs w:val="21"/>
              </w:rPr>
            </w:pPr>
            <w:r>
              <w:rPr>
                <w:rFonts w:ascii="宋体" w:hAnsi="宋体"/>
                <w:b/>
                <w:color w:val="000000" w:themeColor="text1"/>
                <w:sz w:val="21"/>
                <w:szCs w:val="21"/>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val="en-US" w:eastAsia="zh-CN"/>
              </w:rPr>
              <w:t>8.3</w:t>
            </w:r>
            <w:r>
              <w:rPr>
                <w:rFonts w:hint="eastAsia" w:ascii="宋体" w:hAnsi="宋体"/>
                <w:b/>
                <w:color w:val="000000" w:themeColor="text1"/>
                <w:sz w:val="21"/>
                <w:szCs w:val="21"/>
              </w:rPr>
              <w:t xml:space="preserve">    ，不适用理由： </w:t>
            </w:r>
            <w:r>
              <w:rPr>
                <w:rFonts w:hint="eastAsia" w:ascii="宋体" w:hAnsi="宋体" w:eastAsia="宋体" w:cs="Times New Roman"/>
                <w:b w:val="0"/>
                <w:bCs/>
                <w:color w:val="000000" w:themeColor="text1"/>
                <w:sz w:val="21"/>
                <w:szCs w:val="21"/>
                <w:lang w:val="en-US" w:eastAsia="zh-CN"/>
              </w:rPr>
              <w:t>根据本组织产品和生产服务特点，因为本公司的产品参照国家有关标准和顾客技术要求进行生产销售，且生产工艺成熟，不存在设计开发过程，因此将ISO9001：2015标准“8.3产品和服务的设计和开发”的要求确认为不适用，该不适用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提供了职业安全健康管理体系</w:t>
            </w:r>
            <w:r>
              <w:rPr>
                <w:rFonts w:hint="eastAsia" w:asciiTheme="minorEastAsia" w:hAnsiTheme="minorEastAsia" w:eastAsiaTheme="minorEastAsia" w:cstheme="minorEastAsia"/>
                <w:b w:val="0"/>
                <w:bCs/>
                <w:color w:val="auto"/>
                <w:sz w:val="21"/>
                <w:szCs w:val="21"/>
                <w:lang w:eastAsia="zh-CN"/>
              </w:rPr>
              <w:t>《危险源辨识及风险评价表》</w:t>
            </w:r>
            <w:r>
              <w:rPr>
                <w:rFonts w:hint="eastAsia" w:asciiTheme="minorEastAsia" w:hAnsiTheme="minorEastAsia" w:eastAsiaTheme="minorEastAsia" w:cstheme="minorEastAsia"/>
                <w:b w:val="0"/>
                <w:bCs/>
                <w:color w:val="auto"/>
                <w:sz w:val="21"/>
                <w:szCs w:val="21"/>
              </w:rPr>
              <w:t>，内容有：活动场所、危险类别、危害类别、危险发生的可能性L、损失后果C、频繁程度E、控制措施等。识别出项目部危险源有：</w:t>
            </w:r>
            <w:r>
              <w:rPr>
                <w:rFonts w:hint="eastAsia" w:asciiTheme="minorEastAsia" w:hAnsiTheme="minorEastAsia" w:eastAsiaTheme="minorEastAsia" w:cstheme="minorEastAsia"/>
                <w:b w:val="0"/>
                <w:bCs/>
                <w:color w:val="auto"/>
                <w:sz w:val="21"/>
                <w:szCs w:val="21"/>
                <w:lang w:eastAsia="zh-CN"/>
              </w:rPr>
              <w:t>触电、火灾、</w:t>
            </w:r>
            <w:r>
              <w:rPr>
                <w:rFonts w:hint="eastAsia" w:asciiTheme="minorEastAsia" w:hAnsiTheme="minorEastAsia" w:eastAsiaTheme="minorEastAsia" w:cstheme="minorEastAsia"/>
                <w:b w:val="0"/>
                <w:bCs/>
                <w:color w:val="auto"/>
                <w:sz w:val="21"/>
                <w:szCs w:val="21"/>
                <w:lang w:val="en-US" w:eastAsia="zh-CN"/>
              </w:rPr>
              <w:t>意外</w:t>
            </w:r>
            <w:r>
              <w:rPr>
                <w:rFonts w:hint="eastAsia" w:asciiTheme="minorEastAsia" w:hAnsiTheme="minorEastAsia" w:eastAsiaTheme="minorEastAsia" w:cstheme="minorEastAsia"/>
                <w:b w:val="0"/>
                <w:bCs/>
                <w:color w:val="auto"/>
                <w:sz w:val="21"/>
                <w:szCs w:val="21"/>
                <w:lang w:eastAsia="zh-CN"/>
              </w:rPr>
              <w:t>伤害</w:t>
            </w:r>
            <w:r>
              <w:rPr>
                <w:rFonts w:hint="eastAsia" w:asciiTheme="minorEastAsia" w:hAnsiTheme="minorEastAsia" w:eastAsiaTheme="minorEastAsia" w:cstheme="minorEastAsia"/>
                <w:b w:val="0"/>
                <w:bCs/>
                <w:color w:val="auto"/>
                <w:sz w:val="21"/>
                <w:szCs w:val="21"/>
              </w:rPr>
              <w:t>等。优先控制风险采用“LEC”方法进行评价。提供</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控制风险清单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w:t>
            </w:r>
          </w:p>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不可接受风险有：</w:t>
            </w:r>
            <w:r>
              <w:rPr>
                <w:rFonts w:hint="eastAsia" w:asciiTheme="minorEastAsia" w:hAnsiTheme="minorEastAsia" w:eastAsiaTheme="minorEastAsia" w:cstheme="minorEastAsia"/>
                <w:b w:val="0"/>
                <w:bCs/>
                <w:color w:val="auto"/>
                <w:sz w:val="21"/>
                <w:szCs w:val="21"/>
                <w:lang w:eastAsia="zh-CN"/>
              </w:rPr>
              <w:t>火灾</w:t>
            </w:r>
            <w:r>
              <w:rPr>
                <w:rFonts w:hint="eastAsia" w:asciiTheme="minorEastAsia" w:hAnsiTheme="minorEastAsia" w:eastAsiaTheme="minorEastAsia" w:cstheme="minorEastAsia"/>
                <w:b w:val="0"/>
                <w:bCs/>
                <w:color w:val="auto"/>
                <w:sz w:val="21"/>
                <w:szCs w:val="21"/>
              </w:rPr>
              <w:t>；触电；</w:t>
            </w:r>
            <w:r>
              <w:rPr>
                <w:rFonts w:hint="eastAsia" w:asciiTheme="minorEastAsia" w:hAnsiTheme="minorEastAsia" w:eastAsiaTheme="minorEastAsia" w:cstheme="minorEastAsia"/>
                <w:b w:val="0"/>
                <w:bCs/>
                <w:color w:val="auto"/>
                <w:sz w:val="21"/>
                <w:szCs w:val="21"/>
                <w:lang w:val="en-US" w:eastAsia="zh-CN"/>
              </w:rPr>
              <w:t>职业健康；高空坠物、机械伤害</w:t>
            </w:r>
            <w:r>
              <w:rPr>
                <w:rFonts w:hint="eastAsia" w:asciiTheme="minorEastAsia" w:hAnsiTheme="minorEastAsia" w:eastAsiaTheme="minorEastAsia" w:cstheme="minorEastAsia"/>
                <w:b w:val="0"/>
                <w:bCs/>
                <w:color w:val="auto"/>
                <w:sz w:val="21"/>
                <w:szCs w:val="21"/>
              </w:rPr>
              <w:t>。</w:t>
            </w:r>
          </w:p>
          <w:p>
            <w:pPr>
              <w:pStyle w:val="2"/>
            </w:pPr>
            <w:r>
              <w:rPr>
                <w:rFonts w:hint="eastAsia" w:asciiTheme="minorEastAsia" w:hAnsiTheme="minorEastAsia" w:eastAsiaTheme="minorEastAsia" w:cstheme="minorEastAsia"/>
                <w:b w:val="0"/>
                <w:bCs/>
                <w:color w:val="auto"/>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4.</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szCs w:val="21"/>
              </w:rPr>
              <w:t>公司确定的相关方有员工、顾客 、政府机构、审核机构、供方等。理解员工诉求的形式为谈心、茶话会等；理解银行等相关方的形式主要为电话沟通、上门拜访等；对相关方的要求的监视和评审的方法多样，通过QQ和微信等现代通讯手段是常用的便捷而又高效主要方法</w:t>
            </w:r>
          </w:p>
          <w:p>
            <w:pPr>
              <w:tabs>
                <w:tab w:val="left" w:pos="0"/>
              </w:tabs>
              <w:spacing w:line="240" w:lineRule="exact"/>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 目标、方案</w:t>
            </w:r>
          </w:p>
          <w:p>
            <w:pPr>
              <w:ind w:firstLine="420" w:firstLineChars="200"/>
              <w:rPr>
                <w:rFonts w:hint="default"/>
                <w:lang w:val="en-US" w:eastAsia="zh-CN"/>
              </w:rPr>
            </w:pPr>
            <w:r>
              <w:rPr>
                <w:rFonts w:hint="default"/>
                <w:lang w:val="en-US" w:eastAsia="zh-CN"/>
              </w:rPr>
              <w:t>公司质量管理目标为：</w:t>
            </w:r>
          </w:p>
          <w:p>
            <w:pPr>
              <w:pStyle w:val="2"/>
              <w:rPr>
                <w:rFonts w:hint="default"/>
                <w:lang w:val="en-US" w:eastAsia="zh-CN"/>
              </w:rPr>
            </w:pPr>
            <w:r>
              <w:rPr>
                <w:rFonts w:hint="default"/>
                <w:lang w:val="en-US" w:eastAsia="zh-CN"/>
              </w:rPr>
              <w:t>1、顾客满意度≥95%；</w:t>
            </w:r>
          </w:p>
          <w:p>
            <w:pPr>
              <w:pStyle w:val="2"/>
              <w:rPr>
                <w:rFonts w:hint="default"/>
                <w:lang w:val="en-US" w:eastAsia="zh-CN"/>
              </w:rPr>
            </w:pPr>
            <w:r>
              <w:rPr>
                <w:rFonts w:hint="default"/>
                <w:lang w:val="en-US" w:eastAsia="zh-CN"/>
              </w:rPr>
              <w:t>2、产品及时交付率100%；</w:t>
            </w:r>
          </w:p>
          <w:p>
            <w:pPr>
              <w:spacing w:line="360" w:lineRule="auto"/>
              <w:ind w:firstLine="420" w:firstLineChars="200"/>
              <w:rPr>
                <w:rFonts w:hint="eastAsia"/>
                <w:sz w:val="21"/>
                <w:szCs w:val="21"/>
                <w:lang w:eastAsia="zh-CN"/>
              </w:rPr>
            </w:pPr>
            <w:r>
              <w:rPr>
                <w:rFonts w:hint="eastAsia"/>
                <w:sz w:val="21"/>
                <w:szCs w:val="21"/>
              </w:rPr>
              <w:t>职业健康安全目标</w:t>
            </w:r>
            <w:r>
              <w:rPr>
                <w:rFonts w:hint="eastAsia"/>
                <w:sz w:val="21"/>
                <w:szCs w:val="21"/>
                <w:lang w:eastAsia="zh-CN"/>
              </w:rPr>
              <w:t>：</w:t>
            </w:r>
          </w:p>
          <w:p>
            <w:pPr>
              <w:spacing w:line="360" w:lineRule="auto"/>
              <w:rPr>
                <w:rFonts w:hint="eastAsia"/>
                <w:sz w:val="21"/>
                <w:szCs w:val="21"/>
                <w:lang w:eastAsia="zh-CN"/>
              </w:rPr>
            </w:pPr>
            <w:r>
              <w:rPr>
                <w:rFonts w:hint="eastAsia"/>
                <w:sz w:val="21"/>
                <w:szCs w:val="21"/>
                <w:lang w:val="en-US" w:eastAsia="zh-CN"/>
              </w:rPr>
              <w:t>重大伤亡事故</w:t>
            </w:r>
            <w:r>
              <w:rPr>
                <w:rFonts w:hint="eastAsia"/>
                <w:sz w:val="21"/>
                <w:szCs w:val="21"/>
              </w:rPr>
              <w:t>为0</w:t>
            </w:r>
            <w:r>
              <w:rPr>
                <w:rFonts w:hint="eastAsia"/>
                <w:sz w:val="21"/>
                <w:szCs w:val="21"/>
                <w:lang w:eastAsia="zh-CN"/>
              </w:rPr>
              <w:t>；</w:t>
            </w:r>
          </w:p>
          <w:p>
            <w:pPr>
              <w:spacing w:line="360" w:lineRule="auto"/>
              <w:rPr>
                <w:rFonts w:hint="eastAsia"/>
                <w:sz w:val="21"/>
                <w:szCs w:val="21"/>
                <w:lang w:val="en-US" w:eastAsia="zh-CN"/>
              </w:rPr>
            </w:pPr>
            <w:r>
              <w:rPr>
                <w:rFonts w:hint="eastAsia"/>
                <w:sz w:val="21"/>
                <w:szCs w:val="21"/>
              </w:rPr>
              <w:t>火灾事故为</w:t>
            </w:r>
            <w:r>
              <w:rPr>
                <w:rFonts w:hint="eastAsia"/>
                <w:sz w:val="21"/>
                <w:szCs w:val="21"/>
                <w:lang w:val="en-US" w:eastAsia="zh-CN"/>
              </w:rPr>
              <w:t>0.；</w:t>
            </w:r>
          </w:p>
          <w:p>
            <w:pPr>
              <w:spacing w:line="360" w:lineRule="auto"/>
              <w:rPr>
                <w:rFonts w:hint="eastAsia" w:eastAsia="宋体"/>
                <w:sz w:val="21"/>
                <w:szCs w:val="21"/>
                <w:lang w:eastAsia="zh-CN"/>
              </w:rPr>
            </w:pPr>
            <w:r>
              <w:rPr>
                <w:rFonts w:hint="eastAsia"/>
                <w:sz w:val="21"/>
                <w:szCs w:val="21"/>
                <w:lang w:val="en-US" w:eastAsia="zh-CN"/>
              </w:rPr>
              <w:t>职业病发生率0</w:t>
            </w:r>
          </w:p>
          <w:p>
            <w:pPr>
              <w:rPr>
                <w:rFonts w:hint="default"/>
                <w:sz w:val="21"/>
                <w:szCs w:val="21"/>
                <w:lang w:val="en-US" w:eastAsia="zh-CN"/>
              </w:rPr>
            </w:pPr>
            <w:r>
              <w:rPr>
                <w:rFonts w:hint="eastAsia"/>
                <w:sz w:val="21"/>
                <w:szCs w:val="21"/>
              </w:rPr>
              <w:t>有《</w:t>
            </w:r>
            <w:r>
              <w:rPr>
                <w:rFonts w:hint="eastAsia"/>
                <w:sz w:val="21"/>
                <w:szCs w:val="21"/>
                <w:lang w:val="en-US" w:eastAsia="zh-CN"/>
              </w:rPr>
              <w:t>安全</w:t>
            </w:r>
            <w:r>
              <w:rPr>
                <w:rFonts w:hint="eastAsia"/>
                <w:sz w:val="21"/>
                <w:szCs w:val="21"/>
              </w:rPr>
              <w:t>目标、指标及管理方案》20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20号完成统计</w:t>
            </w:r>
          </w:p>
          <w:p>
            <w:pPr>
              <w:rPr>
                <w:sz w:val="21"/>
                <w:szCs w:val="21"/>
              </w:rPr>
            </w:pPr>
            <w:r>
              <w:rPr>
                <w:rFonts w:hint="eastAsia"/>
                <w:sz w:val="21"/>
                <w:szCs w:val="21"/>
              </w:rPr>
              <w:t>明确了目标的考核频次、计算方法、责任部门等</w:t>
            </w:r>
          </w:p>
          <w:p>
            <w:r>
              <w:rPr>
                <w:rFonts w:hint="eastAsia"/>
                <w:sz w:val="21"/>
                <w:szCs w:val="21"/>
              </w:rPr>
              <w:t>经查：目标均已完成。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color w:val="auto"/>
                <w:sz w:val="21"/>
                <w:szCs w:val="21"/>
              </w:rPr>
            </w:pPr>
            <w:r>
              <w:rPr>
                <w:rFonts w:hint="eastAsia"/>
                <w:color w:val="auto"/>
                <w:sz w:val="21"/>
                <w:szCs w:val="21"/>
              </w:rPr>
              <w:t>受审核方建立的管理体系文件包括：</w:t>
            </w:r>
          </w:p>
          <w:p>
            <w:pPr>
              <w:rPr>
                <w:rFonts w:hint="eastAsia"/>
                <w:color w:val="auto"/>
                <w:sz w:val="21"/>
                <w:szCs w:val="21"/>
              </w:rPr>
            </w:pPr>
            <w:r>
              <w:rPr>
                <w:rFonts w:hint="eastAsia"/>
                <w:color w:val="auto"/>
                <w:sz w:val="21"/>
                <w:szCs w:val="21"/>
                <w:lang w:val="en-US" w:eastAsia="zh-CN"/>
              </w:rPr>
              <w:t>1、</w:t>
            </w:r>
            <w:r>
              <w:rPr>
                <w:rFonts w:hint="eastAsia"/>
                <w:color w:val="auto"/>
                <w:sz w:val="21"/>
                <w:szCs w:val="21"/>
              </w:rPr>
              <w:t>管理手册</w:t>
            </w:r>
            <w:r>
              <w:rPr>
                <w:rFonts w:hint="eastAsia"/>
                <w:color w:val="auto"/>
                <w:sz w:val="21"/>
                <w:szCs w:val="21"/>
                <w:lang w:val="en-US" w:eastAsia="zh-CN"/>
              </w:rPr>
              <w:t>XL</w:t>
            </w:r>
            <w:r>
              <w:rPr>
                <w:rFonts w:hint="eastAsia"/>
                <w:color w:val="auto"/>
                <w:sz w:val="21"/>
                <w:szCs w:val="21"/>
              </w:rPr>
              <w:t>/QES01</w:t>
            </w:r>
            <w:r>
              <w:rPr>
                <w:rFonts w:hint="eastAsia"/>
                <w:color w:val="auto"/>
                <w:sz w:val="21"/>
                <w:szCs w:val="21"/>
                <w:lang w:eastAsia="zh-CN"/>
              </w:rPr>
              <w:t>-201</w:t>
            </w:r>
            <w:r>
              <w:rPr>
                <w:rFonts w:hint="eastAsia"/>
                <w:color w:val="auto"/>
                <w:sz w:val="21"/>
                <w:szCs w:val="21"/>
                <w:lang w:val="en-US" w:eastAsia="zh-CN"/>
              </w:rPr>
              <w:t>9</w:t>
            </w:r>
            <w:r>
              <w:rPr>
                <w:rFonts w:hint="eastAsia"/>
                <w:color w:val="auto"/>
                <w:sz w:val="21"/>
                <w:szCs w:val="21"/>
              </w:rPr>
              <w:t xml:space="preserve"> 版A，程序文件</w:t>
            </w:r>
            <w:r>
              <w:rPr>
                <w:rFonts w:hint="eastAsia"/>
                <w:color w:val="auto"/>
                <w:sz w:val="21"/>
                <w:szCs w:val="21"/>
                <w:lang w:val="en-US" w:eastAsia="zh-CN"/>
              </w:rPr>
              <w:t>XL</w:t>
            </w:r>
            <w:r>
              <w:rPr>
                <w:rFonts w:hint="eastAsia"/>
                <w:color w:val="auto"/>
                <w:sz w:val="21"/>
                <w:szCs w:val="21"/>
              </w:rPr>
              <w:t>/QES0</w:t>
            </w:r>
            <w:r>
              <w:rPr>
                <w:rFonts w:hint="eastAsia"/>
                <w:color w:val="auto"/>
                <w:sz w:val="21"/>
                <w:szCs w:val="21"/>
                <w:lang w:val="en-US" w:eastAsia="zh-CN"/>
              </w:rPr>
              <w:t>2</w:t>
            </w:r>
            <w:r>
              <w:rPr>
                <w:rFonts w:hint="eastAsia"/>
                <w:color w:val="auto"/>
                <w:sz w:val="21"/>
                <w:szCs w:val="21"/>
                <w:lang w:eastAsia="zh-CN"/>
              </w:rPr>
              <w:t>-201</w:t>
            </w:r>
            <w:r>
              <w:rPr>
                <w:rFonts w:hint="eastAsia"/>
                <w:color w:val="auto"/>
                <w:sz w:val="21"/>
                <w:szCs w:val="21"/>
                <w:lang w:val="en-US" w:eastAsia="zh-CN"/>
              </w:rPr>
              <w:t>9</w:t>
            </w:r>
            <w:r>
              <w:rPr>
                <w:rFonts w:hint="eastAsia"/>
                <w:color w:val="auto"/>
                <w:sz w:val="21"/>
                <w:szCs w:val="21"/>
              </w:rPr>
              <w:t>版A，发布时间：2019年1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日   实施时间：2019年1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 xml:space="preserve">日  </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包括标准要求的形成文件的信息。</w:t>
            </w:r>
          </w:p>
          <w:p>
            <w:pPr>
              <w:rPr>
                <w:rFonts w:hint="eastAsia"/>
                <w:color w:val="auto"/>
                <w:sz w:val="21"/>
                <w:szCs w:val="21"/>
              </w:rPr>
            </w:pPr>
            <w:r>
              <w:rPr>
                <w:rFonts w:hint="eastAsia"/>
                <w:color w:val="auto"/>
                <w:sz w:val="21"/>
                <w:szCs w:val="21"/>
              </w:rPr>
              <w:t>3</w:t>
            </w:r>
            <w:r>
              <w:rPr>
                <w:rFonts w:hint="eastAsia"/>
                <w:color w:val="auto"/>
                <w:sz w:val="21"/>
                <w:szCs w:val="21"/>
                <w:lang w:eastAsia="zh-CN"/>
              </w:rPr>
              <w:t>、</w:t>
            </w:r>
            <w:r>
              <w:rPr>
                <w:rFonts w:hint="eastAsia"/>
                <w:color w:val="auto"/>
                <w:sz w:val="21"/>
                <w:szCs w:val="21"/>
                <w:lang w:val="en-US" w:eastAsia="zh-CN"/>
              </w:rPr>
              <w:t>安全</w:t>
            </w:r>
            <w:r>
              <w:rPr>
                <w:rFonts w:hint="eastAsia"/>
                <w:color w:val="auto"/>
                <w:sz w:val="21"/>
                <w:szCs w:val="21"/>
              </w:rPr>
              <w:t>管理制度汇编。</w:t>
            </w:r>
          </w:p>
          <w:p>
            <w:pPr>
              <w:rPr>
                <w:color w:val="auto"/>
                <w:sz w:val="21"/>
                <w:szCs w:val="21"/>
              </w:rPr>
            </w:pPr>
            <w:r>
              <w:rPr>
                <w:rFonts w:hint="eastAsia"/>
                <w:color w:val="auto"/>
                <w:sz w:val="21"/>
                <w:szCs w:val="21"/>
              </w:rPr>
              <w:t>4</w:t>
            </w:r>
            <w:r>
              <w:rPr>
                <w:rFonts w:hint="eastAsia"/>
                <w:color w:val="auto"/>
                <w:sz w:val="21"/>
                <w:szCs w:val="21"/>
                <w:lang w:eastAsia="zh-CN"/>
              </w:rPr>
              <w:t>、</w:t>
            </w:r>
            <w:r>
              <w:rPr>
                <w:rFonts w:hint="eastAsia"/>
                <w:color w:val="auto"/>
                <w:sz w:val="21"/>
                <w:szCs w:val="21"/>
              </w:rPr>
              <w:t>体系运行所需要的文件和记录</w:t>
            </w:r>
          </w:p>
          <w:p>
            <w:pPr>
              <w:ind w:firstLine="420" w:firstLineChars="200"/>
              <w:rPr>
                <w:color w:val="auto"/>
                <w:sz w:val="21"/>
                <w:szCs w:val="21"/>
              </w:rPr>
            </w:pPr>
            <w:r>
              <w:rPr>
                <w:rFonts w:hint="eastAsia"/>
                <w:color w:val="auto"/>
                <w:sz w:val="21"/>
                <w:szCs w:val="21"/>
              </w:rPr>
              <w:t>编制了《文件控制程序》《记录控制程序》用于对管理体系文件，符合标准要求。</w:t>
            </w:r>
          </w:p>
          <w:p>
            <w:pPr>
              <w:ind w:firstLine="420" w:firstLineChars="200"/>
              <w:rPr>
                <w:color w:val="auto"/>
                <w:sz w:val="21"/>
                <w:szCs w:val="21"/>
              </w:rPr>
            </w:pPr>
            <w:r>
              <w:rPr>
                <w:rFonts w:hint="eastAsia"/>
                <w:color w:val="auto"/>
                <w:sz w:val="21"/>
                <w:szCs w:val="21"/>
              </w:rPr>
              <w:t>查</w:t>
            </w:r>
            <w:r>
              <w:rPr>
                <w:rFonts w:hint="eastAsia"/>
                <w:color w:val="auto"/>
                <w:sz w:val="21"/>
                <w:szCs w:val="21"/>
                <w:lang w:val="en-US" w:eastAsia="zh-CN"/>
              </w:rPr>
              <w:t>综合部</w:t>
            </w:r>
            <w:r>
              <w:rPr>
                <w:rFonts w:hint="eastAsia"/>
                <w:color w:val="auto"/>
                <w:sz w:val="21"/>
                <w:szCs w:val="21"/>
              </w:rPr>
              <w:t>管理手册、管理制度等文件均保管良好，为有效版本，有受控标识。</w:t>
            </w:r>
          </w:p>
          <w:p>
            <w:pPr>
              <w:ind w:firstLine="420" w:firstLineChars="200"/>
              <w:rPr>
                <w:color w:val="auto"/>
                <w:sz w:val="21"/>
                <w:szCs w:val="21"/>
              </w:rPr>
            </w:pPr>
            <w:r>
              <w:rPr>
                <w:rFonts w:hint="eastAsia"/>
                <w:color w:val="auto"/>
                <w:sz w:val="21"/>
                <w:szCs w:val="21"/>
                <w:lang w:val="en-US" w:eastAsia="zh-CN"/>
              </w:rPr>
              <w:t>综合部</w:t>
            </w:r>
            <w:r>
              <w:rPr>
                <w:rFonts w:hint="eastAsia"/>
                <w:color w:val="auto"/>
                <w:sz w:val="21"/>
                <w:szCs w:val="21"/>
              </w:rPr>
              <w:t>负责收集有关产品的国家标准、行业标准的最新版本，分发到相关部门使用；收回旧标准。</w:t>
            </w:r>
          </w:p>
          <w:p>
            <w:pPr>
              <w:rPr>
                <w:color w:val="auto"/>
                <w:sz w:val="21"/>
                <w:szCs w:val="21"/>
              </w:rPr>
            </w:pPr>
            <w:r>
              <w:rPr>
                <w:rFonts w:hint="eastAsia"/>
                <w:color w:val="auto"/>
                <w:sz w:val="21"/>
                <w:szCs w:val="21"/>
              </w:rPr>
              <w:t>查见《</w:t>
            </w:r>
            <w:r>
              <w:rPr>
                <w:rFonts w:hint="eastAsia"/>
                <w:color w:val="auto"/>
                <w:sz w:val="21"/>
                <w:szCs w:val="21"/>
                <w:lang w:val="en-US" w:eastAsia="zh-CN"/>
              </w:rPr>
              <w:t>外来文件清单</w:t>
            </w:r>
            <w:r>
              <w:rPr>
                <w:rFonts w:hint="eastAsia"/>
                <w:color w:val="auto"/>
                <w:sz w:val="21"/>
                <w:szCs w:val="21"/>
              </w:rPr>
              <w:t>》</w:t>
            </w:r>
            <w:r>
              <w:rPr>
                <w:rFonts w:hint="eastAsia"/>
                <w:color w:val="auto"/>
                <w:sz w:val="21"/>
                <w:szCs w:val="21"/>
                <w:lang w:eastAsia="zh-CN"/>
              </w:rPr>
              <w:t>、</w:t>
            </w:r>
            <w:r>
              <w:rPr>
                <w:rFonts w:hint="eastAsia"/>
                <w:color w:val="auto"/>
                <w:sz w:val="21"/>
                <w:szCs w:val="21"/>
              </w:rPr>
              <w:t>《记录清单》</w:t>
            </w:r>
            <w:r>
              <w:rPr>
                <w:rFonts w:hint="eastAsia"/>
                <w:color w:val="auto"/>
                <w:sz w:val="21"/>
                <w:szCs w:val="21"/>
                <w:lang w:eastAsia="zh-CN"/>
              </w:rPr>
              <w:t>，</w:t>
            </w:r>
            <w:r>
              <w:rPr>
                <w:rFonts w:hint="eastAsia"/>
                <w:color w:val="auto"/>
                <w:sz w:val="21"/>
                <w:szCs w:val="21"/>
              </w:rPr>
              <w:t>保存期限分别为三年</w:t>
            </w:r>
            <w:r>
              <w:rPr>
                <w:rFonts w:hint="eastAsia"/>
                <w:color w:val="auto"/>
                <w:sz w:val="21"/>
                <w:szCs w:val="21"/>
                <w:lang w:eastAsia="zh-CN"/>
              </w:rPr>
              <w:t>，</w:t>
            </w:r>
            <w:r>
              <w:rPr>
                <w:rFonts w:hint="eastAsia"/>
                <w:color w:val="auto"/>
                <w:sz w:val="21"/>
                <w:szCs w:val="21"/>
                <w:lang w:val="en-US" w:eastAsia="zh-CN"/>
              </w:rPr>
              <w:t>五年和十年</w:t>
            </w:r>
            <w:r>
              <w:rPr>
                <w:rFonts w:hint="eastAsia"/>
                <w:color w:val="auto"/>
                <w:sz w:val="21"/>
                <w:szCs w:val="21"/>
              </w:rPr>
              <w:t>。</w:t>
            </w:r>
          </w:p>
          <w:p>
            <w:pPr>
              <w:rPr>
                <w:color w:val="auto"/>
                <w:sz w:val="21"/>
                <w:szCs w:val="21"/>
              </w:rPr>
            </w:pPr>
            <w:r>
              <w:rPr>
                <w:rFonts w:hint="eastAsia"/>
                <w:color w:val="auto"/>
                <w:sz w:val="21"/>
                <w:szCs w:val="21"/>
              </w:rPr>
              <w:t>尚未有销毁记录，若有由</w:t>
            </w:r>
            <w:r>
              <w:rPr>
                <w:rFonts w:hint="eastAsia"/>
                <w:color w:val="auto"/>
                <w:sz w:val="21"/>
                <w:szCs w:val="21"/>
                <w:lang w:val="en-US" w:eastAsia="zh-CN"/>
              </w:rPr>
              <w:t>综合部</w:t>
            </w:r>
            <w:r>
              <w:rPr>
                <w:rFonts w:hint="eastAsia"/>
                <w:color w:val="auto"/>
                <w:sz w:val="21"/>
                <w:szCs w:val="21"/>
              </w:rPr>
              <w:t>组织进行。</w:t>
            </w:r>
          </w:p>
          <w:p>
            <w:pPr>
              <w:tabs>
                <w:tab w:val="left" w:pos="540"/>
              </w:tabs>
              <w:spacing w:line="240" w:lineRule="exact"/>
              <w:rPr>
                <w:rFonts w:ascii="宋体" w:hAnsi="宋体"/>
                <w:b/>
                <w:color w:val="000000" w:themeColor="text1"/>
                <w:sz w:val="20"/>
                <w:szCs w:val="20"/>
              </w:rPr>
            </w:pPr>
            <w:r>
              <w:rPr>
                <w:rFonts w:hint="eastAsia"/>
                <w:color w:val="auto"/>
                <w:sz w:val="21"/>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见</w:t>
            </w:r>
            <w:r>
              <w:rPr>
                <w:rFonts w:hint="eastAsia" w:ascii="Times New Roman" w:hAnsi="Times New Roman" w:eastAsia="宋体" w:cs="Times New Roman"/>
                <w:color w:val="auto"/>
                <w:sz w:val="21"/>
                <w:szCs w:val="21"/>
                <w:lang w:eastAsia="zh-CN"/>
              </w:rPr>
              <w:t xml:space="preserve">XL </w:t>
            </w:r>
            <w:r>
              <w:rPr>
                <w:rFonts w:hint="eastAsia" w:ascii="Times New Roman" w:hAnsi="Times New Roman" w:eastAsia="宋体" w:cs="Times New Roman"/>
                <w:color w:val="auto"/>
                <w:sz w:val="21"/>
                <w:szCs w:val="21"/>
              </w:rPr>
              <w:t>/QES02</w:t>
            </w:r>
            <w:r>
              <w:rPr>
                <w:rFonts w:hint="eastAsia" w:ascii="Times New Roman" w:hAnsi="Times New Roman" w:eastAsia="宋体" w:cs="Times New Roman"/>
                <w:color w:val="auto"/>
                <w:sz w:val="21"/>
                <w:szCs w:val="21"/>
                <w:lang w:eastAsia="zh-CN"/>
              </w:rPr>
              <w:t>-2019</w:t>
            </w:r>
            <w:r>
              <w:rPr>
                <w:rFonts w:hint="eastAsia" w:ascii="Times New Roman" w:hAnsi="Times New Roman" w:eastAsia="宋体" w:cs="Times New Roman"/>
                <w:color w:val="auto"/>
                <w:sz w:val="21"/>
                <w:szCs w:val="21"/>
              </w:rPr>
              <w:t>-08《培训、意识和能力控制程序》，规定了控制要求。对企业的人力资源的培养和发展等作出规定，专业技术人员、作业人员等人力资源作出了规划。</w:t>
            </w:r>
          </w:p>
          <w:p>
            <w:pP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见</w:t>
            </w:r>
            <w:r>
              <w:rPr>
                <w:rFonts w:hint="eastAsia" w:ascii="Times New Roman" w:hAnsi="Times New Roman" w:eastAsia="宋体" w:cs="Times New Roman"/>
                <w:color w:val="auto"/>
                <w:sz w:val="21"/>
                <w:szCs w:val="21"/>
              </w:rPr>
              <w:t>《人员能力制符合性评价表》</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《岗位任职要求》，对总经理、管代、内审员、销售员、技术等岗位人员的任职要求从能力、意识、学历、经历、技能等方面作出规定。</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sz w:val="21"/>
                <w:szCs w:val="21"/>
              </w:rPr>
              <w:t>《生产设备台帐》，主要主要设备:</w:t>
            </w:r>
            <w:r>
              <w:rPr>
                <w:rFonts w:hint="eastAsia" w:asciiTheme="minorEastAsia" w:hAnsiTheme="minorEastAsia" w:eastAsiaTheme="minorEastAsia" w:cstheme="minorEastAsia"/>
                <w:sz w:val="21"/>
                <w:szCs w:val="21"/>
                <w:lang w:val="en-US" w:eastAsia="zh-CN"/>
              </w:rPr>
              <w:t>焊机、卧式金属带锯床、数控冲孔切断机床、液压板料折弯机、液压板料裁剪机行车等。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2、特种设备：2.8</w:t>
            </w:r>
            <w:r>
              <w:rPr>
                <w:rFonts w:hint="eastAsia" w:asciiTheme="minorEastAsia" w:hAnsiTheme="minorEastAsia" w:eastAsiaTheme="minorEastAsia" w:cstheme="minorEastAsia"/>
                <w:sz w:val="21"/>
                <w:szCs w:val="21"/>
              </w:rPr>
              <w:t>T行车一台</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w:t>
            </w:r>
            <w:r>
              <w:rPr>
                <w:rFonts w:hint="eastAsia" w:asciiTheme="minorEastAsia" w:hAnsiTheme="minorEastAsia" w:eastAsiaTheme="minorEastAsia" w:cstheme="minorEastAsia"/>
                <w:sz w:val="21"/>
                <w:szCs w:val="21"/>
              </w:rPr>
              <w:t>种设备：</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T行</w:t>
            </w:r>
            <w:r>
              <w:rPr>
                <w:rFonts w:hint="eastAsia" w:asciiTheme="minorEastAsia" w:hAnsiTheme="minorEastAsia" w:eastAsiaTheme="minorEastAsia" w:cstheme="minorEastAsia"/>
                <w:kern w:val="2"/>
                <w:sz w:val="21"/>
                <w:szCs w:val="21"/>
                <w:lang w:val="en-US" w:eastAsia="zh-CN" w:bidi="ar-SA"/>
              </w:rPr>
              <w:t>车一台。（2014年10月30日国家质检总局最新颁发的特种设备目录。目录中，≤3吨的电动葫芦桥式起重机取消年检。）</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但</w:t>
            </w:r>
            <w:r>
              <w:rPr>
                <w:rFonts w:hint="eastAsia" w:asciiTheme="minorEastAsia" w:hAnsiTheme="minorEastAsia" w:eastAsiaTheme="minorEastAsia" w:cstheme="minorEastAsia"/>
                <w:kern w:val="2"/>
                <w:sz w:val="21"/>
                <w:szCs w:val="21"/>
                <w:lang w:val="en-US" w:eastAsia="zh-CN" w:bidi="ar-SA"/>
              </w:rPr>
              <w:t>是企业进行了自查，提供维保记录表，</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 制定有“设备年度检修计划”，内容有设备名称、检修时间、检修内容、检修人，提供了设备检修记录。</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记录清晰，写明了维修内容、维修人等内容，满足策划要求。</w:t>
            </w:r>
          </w:p>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4、抽生产设备保养、检修情况：提供焊机、卧式金属带锯床、数控冲孔切断机床、液压板料折弯机等设备“维护保养记录”，其显示了设备名称、保养项目、保养时间、责任人等。</w:t>
            </w:r>
          </w:p>
          <w:p>
            <w:pPr>
              <w:rPr>
                <w:rFonts w:ascii="宋体" w:hAnsi="宋体"/>
                <w:b/>
                <w:color w:val="000000" w:themeColor="text1"/>
                <w:sz w:val="20"/>
                <w:szCs w:val="20"/>
              </w:rPr>
            </w:pPr>
            <w:r>
              <w:rPr>
                <w:rFonts w:hint="eastAsia" w:asciiTheme="minorEastAsia" w:hAnsiTheme="minorEastAsia" w:eastAsiaTheme="minorEastAsia" w:cstheme="minorEastAsia"/>
                <w:kern w:val="2"/>
                <w:sz w:val="21"/>
                <w:szCs w:val="21"/>
                <w:lang w:val="en-US" w:eastAsia="zh-CN" w:bidi="ar-SA"/>
              </w:rPr>
              <w:t>5、支持性服务，公司名下无车辆，用于与顾客洽谈业务用私人的轿车。产品的运输由物流公司承担。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生产部有2</w:t>
            </w:r>
            <w:r>
              <w:rPr>
                <w:rFonts w:hint="eastAsia" w:asciiTheme="minorEastAsia" w:hAnsiTheme="minorEastAsia" w:eastAsiaTheme="minorEastAsia" w:cstheme="minorEastAsia"/>
                <w:color w:val="auto"/>
                <w:sz w:val="21"/>
                <w:szCs w:val="21"/>
              </w:rPr>
              <w:t>个车间，</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仓库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气瓶、机械润滑油等单独隔离存放。</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车间宽敞明亮，干净整洁，分割区划分得当，通道畅通。</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车间内各种规格、型号产品摆放整齐，工序间工位器具设置较合理。</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车间工人在工作前及工作结束后能够及时清理环境及设备。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ascii="宋体" w:hAnsi="宋体" w:eastAsia="宋体" w:cs="Times New Roman"/>
                <w:b/>
                <w:color w:val="000000" w:themeColor="text1"/>
                <w:sz w:val="20"/>
                <w:szCs w:val="20"/>
              </w:rPr>
              <w:t>监视和测量资源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提供了《监视设备台账》内容包括监视设备名称、规格、编号等。检测设备主要有：游标卡尺、</w:t>
            </w:r>
            <w:r>
              <w:rPr>
                <w:rFonts w:hint="eastAsia" w:asciiTheme="minorEastAsia" w:hAnsiTheme="minorEastAsia" w:eastAsiaTheme="minorEastAsia" w:cstheme="minorEastAsia"/>
                <w:sz w:val="21"/>
                <w:szCs w:val="21"/>
                <w:lang w:val="en-US" w:eastAsia="zh-CN"/>
              </w:rPr>
              <w:t>卷尺、千分尺、超声波检测仪等</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rPr>
              <w:t>抽查计量器具校准/检定情况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在有效期内，符合要求，证书见附件。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目前尚没有计算机软件用于规定要求的监视和测量情况。</w:t>
            </w:r>
          </w:p>
          <w:p>
            <w:pPr>
              <w:pStyle w:val="2"/>
              <w:rPr>
                <w:rFonts w:hint="eastAsia"/>
              </w:rPr>
            </w:pPr>
            <w:r>
              <w:rPr>
                <w:rFonts w:hint="eastAsia" w:asciiTheme="minorEastAsia" w:hAnsiTheme="minorEastAsia" w:eastAsiaTheme="minorEastAsia" w:cstheme="minorEastAsia"/>
                <w:sz w:val="21"/>
                <w:szCs w:val="21"/>
              </w:rPr>
              <w:t>经询问，没有自校检测设备，未发生在用的监视和测量设备有异常现象。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leftChars="0" w:right="0" w:rightChars="0"/>
              <w:jc w:val="left"/>
              <w:rPr>
                <w:rFonts w:ascii="宋体" w:hAnsi="宋体"/>
                <w:b/>
                <w:color w:val="000000" w:themeColor="text1"/>
                <w:sz w:val="20"/>
                <w:szCs w:val="20"/>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环保/</w:t>
            </w:r>
            <w:r>
              <w:rPr>
                <w:rFonts w:hint="eastAsia" w:ascii="宋体" w:hAnsi="宋体" w:eastAsia="宋体" w:cs="宋体"/>
                <w:color w:val="auto"/>
                <w:szCs w:val="21"/>
              </w:rPr>
              <w:t>职业健康安全设施：</w:t>
            </w:r>
          </w:p>
          <w:p>
            <w:pPr>
              <w:spacing w:line="240" w:lineRule="exact"/>
              <w:rPr>
                <w:rFonts w:hint="eastAsia" w:ascii="宋体" w:hAnsi="宋体" w:eastAsia="宋体" w:cs="宋体"/>
                <w:color w:val="auto"/>
                <w:szCs w:val="21"/>
              </w:rPr>
            </w:pPr>
          </w:p>
          <w:p>
            <w:pPr>
              <w:spacing w:line="240" w:lineRule="exact"/>
              <w:rPr>
                <w:rFonts w:ascii="宋体" w:hAnsi="宋体"/>
                <w:b/>
                <w:color w:val="000000" w:themeColor="text1"/>
                <w:sz w:val="20"/>
                <w:szCs w:val="20"/>
              </w:rPr>
            </w:pPr>
            <w:r>
              <w:rPr>
                <w:rFonts w:hint="eastAsia" w:ascii="宋体" w:hAnsi="宋体" w:eastAsia="宋体" w:cs="宋体"/>
                <w:color w:val="auto"/>
                <w:szCs w:val="21"/>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rPr>
              <w:t>3.  QMS 组织对重要过程实施控制的结果</w:t>
            </w:r>
          </w:p>
          <w:p>
            <w:pPr>
              <w:spacing w:line="360" w:lineRule="auto"/>
              <w:ind w:firstLine="518" w:firstLineChars="2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《生产和服务的提供控制程序》中规定了生产和服务的控制要求，符合企业实际和标准要求，具有可操作性。</w:t>
            </w:r>
          </w:p>
          <w:p>
            <w:pPr>
              <w:spacing w:line="360" w:lineRule="auto"/>
              <w:ind w:firstLine="308" w:firstLineChars="1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w:t>
            </w:r>
            <w:r>
              <w:rPr>
                <w:rFonts w:hint="eastAsia" w:asciiTheme="minorEastAsia" w:hAnsiTheme="minorEastAsia" w:eastAsiaTheme="minorEastAsia" w:cstheme="minorEastAsia"/>
                <w:color w:val="auto"/>
                <w:sz w:val="21"/>
                <w:szCs w:val="21"/>
                <w:lang w:val="en-US" w:eastAsia="zh-CN"/>
              </w:rPr>
              <w:t>远程</w:t>
            </w:r>
            <w:r>
              <w:rPr>
                <w:rFonts w:hint="eastAsia" w:asciiTheme="minorEastAsia" w:hAnsiTheme="minorEastAsia" w:eastAsiaTheme="minorEastAsia" w:cstheme="minorEastAsia"/>
                <w:color w:val="auto"/>
                <w:sz w:val="21"/>
                <w:szCs w:val="21"/>
                <w:lang w:eastAsia="zh-CN"/>
              </w:rPr>
              <w:t>远程</w:t>
            </w:r>
            <w:r>
              <w:rPr>
                <w:rFonts w:hint="eastAsia" w:asciiTheme="minorEastAsia" w:hAnsiTheme="minorEastAsia" w:eastAsiaTheme="minorEastAsia" w:cstheme="minorEastAsia"/>
                <w:color w:val="auto"/>
                <w:sz w:val="21"/>
                <w:szCs w:val="21"/>
              </w:rPr>
              <w:t>查看受控条件：</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组织一般通过顾客订单要求、国标等获得产品信息，车间主要通过下发的购销合同获得产品信息，然后下发生产通知单。</w:t>
            </w:r>
          </w:p>
          <w:p>
            <w:pPr>
              <w:spacing w:line="360" w:lineRule="auto"/>
              <w:ind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2）提供和配置了钢卷尺、卡尺等监视和测量设备。</w:t>
            </w:r>
          </w:p>
          <w:p>
            <w:pPr>
              <w:spacing w:line="360" w:lineRule="auto"/>
              <w:ind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3）检验活动有原材料检验、过程检验、成品的外观、规格尺寸检验，能够验证过程和产品是否符合接收准则。</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4）提供和配备了</w:t>
            </w:r>
            <w:r>
              <w:rPr>
                <w:rFonts w:hint="eastAsia" w:asciiTheme="minorEastAsia" w:hAnsiTheme="minorEastAsia" w:eastAsiaTheme="minorEastAsia" w:cstheme="minorEastAsia"/>
                <w:color w:val="auto"/>
                <w:sz w:val="21"/>
                <w:szCs w:val="21"/>
                <w:lang w:val="en-US" w:eastAsia="zh-CN"/>
              </w:rPr>
              <w:t>焊机、卧式金属带锯床、数控冲孔切断机床、液压板料折弯机</w:t>
            </w:r>
            <w:r>
              <w:rPr>
                <w:rFonts w:hint="eastAsia" w:asciiTheme="minorEastAsia" w:hAnsiTheme="minorEastAsia" w:eastAsiaTheme="minorEastAsia" w:cstheme="minorEastAsia"/>
                <w:color w:val="auto"/>
                <w:sz w:val="21"/>
                <w:szCs w:val="21"/>
              </w:rPr>
              <w:t>等设备，设备运转正常，维护保养良好，配置适宜于生产工艺过程</w:t>
            </w:r>
            <w:r>
              <w:rPr>
                <w:rFonts w:hint="eastAsia" w:asciiTheme="minorEastAsia" w:hAnsiTheme="minorEastAsia" w:eastAsiaTheme="minorEastAsia" w:cstheme="minorEastAsia"/>
                <w:color w:val="auto"/>
                <w:sz w:val="21"/>
                <w:szCs w:val="21"/>
                <w:lang w:val="en-US" w:eastAsia="zh-CN"/>
              </w:rPr>
              <w:t>.</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5）生产操作人员和技术人员、管理人员以及质检员都经过了培训，能力满足要求，特种作业人员</w:t>
            </w:r>
            <w:r>
              <w:rPr>
                <w:rFonts w:hint="eastAsia" w:asciiTheme="minorEastAsia" w:hAnsiTheme="minorEastAsia" w:eastAsiaTheme="minorEastAsia" w:cstheme="minorEastAsia"/>
                <w:color w:val="auto"/>
                <w:sz w:val="21"/>
                <w:szCs w:val="21"/>
                <w:lang w:val="en-US" w:eastAsia="zh-CN"/>
              </w:rPr>
              <w:t>:焊工、电工等，持证上岗。</w:t>
            </w:r>
          </w:p>
          <w:p>
            <w:pPr>
              <w:spacing w:line="360" w:lineRule="auto"/>
              <w:ind w:firstLine="315" w:firstLineChars="150"/>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姓名：王仁健  证书号：T330523198304025819    姓名：韩文涛  证书号：T412728199008085234</w:t>
            </w:r>
          </w:p>
          <w:p>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6）公司确定焊接和喷涂过程为需确认的过程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FF0000"/>
                <w:sz w:val="21"/>
                <w:szCs w:val="21"/>
                <w:lang w:val="en-US" w:eastAsia="zh-CN"/>
              </w:rPr>
              <w:t>未提供“</w:t>
            </w:r>
            <w:r>
              <w:rPr>
                <w:rFonts w:hint="eastAsia" w:asciiTheme="minorEastAsia" w:hAnsiTheme="minorEastAsia" w:eastAsiaTheme="minorEastAsia" w:cstheme="minorEastAsia"/>
                <w:color w:val="FF0000"/>
                <w:sz w:val="21"/>
                <w:szCs w:val="21"/>
              </w:rPr>
              <w:t>特殊过程确认记录</w:t>
            </w:r>
            <w:r>
              <w:rPr>
                <w:rFonts w:hint="eastAsia" w:asciiTheme="minorEastAsia" w:hAnsiTheme="minorEastAsia" w:eastAsiaTheme="minorEastAsia" w:cstheme="minorEastAsia"/>
                <w:color w:val="FF0000"/>
                <w:sz w:val="21"/>
                <w:szCs w:val="21"/>
                <w:lang w:val="en-US" w:eastAsia="zh-CN"/>
              </w:rPr>
              <w:t>”。不符合 N</w:t>
            </w:r>
          </w:p>
          <w:p>
            <w:pPr>
              <w:spacing w:line="360" w:lineRule="auto"/>
              <w:ind w:firstLine="308" w:firstLineChars="14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7）通过岗前培训和日常技能提升培训教育</w:t>
            </w:r>
            <w:r>
              <w:rPr>
                <w:rFonts w:hint="eastAsia" w:asciiTheme="minorEastAsia" w:hAnsiTheme="minorEastAsia" w:eastAsiaTheme="minorEastAsia" w:cstheme="minorEastAsia"/>
                <w:color w:val="auto"/>
                <w:sz w:val="21"/>
                <w:szCs w:val="21"/>
                <w:lang w:eastAsia="zh-CN"/>
              </w:rPr>
              <w:t>。</w:t>
            </w:r>
          </w:p>
          <w:p>
            <w:pPr>
              <w:spacing w:line="360" w:lineRule="auto"/>
              <w:ind w:firstLine="308" w:firstLineChars="14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8)所有的产品(从原材料至成品)都必须经检验合格后方可转序、入库和交付。质量部负责产品的检验和放行，产品经过检验合格后方可放行和交付</w:t>
            </w:r>
            <w:r>
              <w:rPr>
                <w:rFonts w:hint="eastAsia" w:asciiTheme="minorEastAsia" w:hAnsiTheme="minorEastAsia" w:eastAsiaTheme="minorEastAsia" w:cstheme="minorEastAsia"/>
                <w:color w:val="auto"/>
                <w:sz w:val="21"/>
                <w:szCs w:val="21"/>
                <w:lang w:eastAsia="zh-CN"/>
              </w:rPr>
              <w:t>。</w:t>
            </w:r>
          </w:p>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二、车间工作</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管控基本符合</w:t>
            </w:r>
          </w:p>
          <w:p>
            <w:pPr>
              <w:pStyle w:val="2"/>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喷涂、烘烤工序：</w:t>
            </w:r>
            <w:r>
              <w:rPr>
                <w:rFonts w:hint="eastAsia" w:asciiTheme="minorEastAsia" w:hAnsiTheme="minorEastAsia" w:eastAsiaTheme="minorEastAsia" w:cstheme="minorEastAsia"/>
                <w:color w:val="auto"/>
                <w:sz w:val="21"/>
                <w:szCs w:val="21"/>
                <w:lang w:val="en-US" w:eastAsia="zh-CN"/>
              </w:rPr>
              <w:t>外包，见“表面处理（喷涂）外包协议”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公司规定了对原材料、过程产品、成品实施检验，并制定了相应的检验规范。</w:t>
            </w:r>
          </w:p>
          <w:p>
            <w:pPr>
              <w:snapToGrid w:val="0"/>
              <w:spacing w:line="360" w:lineRule="auto"/>
              <w:ind w:left="36" w:leftChars="1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r>
              <w:rPr>
                <w:rFonts w:hint="eastAsia" w:asciiTheme="minorEastAsia" w:hAnsiTheme="minorEastAsia" w:eastAsiaTheme="minorEastAsia" w:cstheme="minorEastAsia"/>
                <w:sz w:val="21"/>
                <w:szCs w:val="21"/>
              </w:rPr>
              <w:t>原材料检验，检验依据：采购物资检验规范，明确了采购物资的验收要求。抽查: 采购产品检验记录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基本符合；</w:t>
            </w:r>
          </w:p>
          <w:p>
            <w:pPr>
              <w:snapToGrid w:val="0"/>
              <w:spacing w:line="360" w:lineRule="auto"/>
              <w:ind w:left="36" w:leftChars="17"/>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r>
              <w:rPr>
                <w:rFonts w:hint="eastAsia" w:asciiTheme="minorEastAsia" w:hAnsiTheme="minorEastAsia" w:eastAsiaTheme="minorEastAsia" w:cstheme="minorEastAsia"/>
                <w:sz w:val="21"/>
                <w:szCs w:val="21"/>
              </w:rPr>
              <w:t>过程检验，检验依据：产品检验规范， 抽查：2019年10月2日的工序检验记录表，再抽查2019.1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日、检验结果合格</w:t>
            </w:r>
            <w:r>
              <w:rPr>
                <w:rFonts w:hint="eastAsia" w:asciiTheme="minorEastAsia" w:hAnsiTheme="minorEastAsia" w:eastAsiaTheme="minorEastAsia" w:cstheme="minorEastAsia"/>
                <w:sz w:val="21"/>
                <w:szCs w:val="21"/>
                <w:lang w:val="en-US" w:eastAsia="zh-CN"/>
              </w:rPr>
              <w:t>.</w:t>
            </w:r>
          </w:p>
          <w:p>
            <w:pPr>
              <w:snapToGrid w:val="0"/>
              <w:spacing w:line="360" w:lineRule="auto"/>
              <w:ind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4.3成</w:t>
            </w:r>
            <w:r>
              <w:rPr>
                <w:rFonts w:hint="eastAsia" w:asciiTheme="minorEastAsia" w:hAnsiTheme="minorEastAsia" w:eastAsiaTheme="minorEastAsia" w:cstheme="minorEastAsia"/>
                <w:sz w:val="21"/>
                <w:szCs w:val="21"/>
              </w:rPr>
              <w:t>品检验：检验依据产品检验规范。</w:t>
            </w:r>
          </w:p>
          <w:p>
            <w:pPr>
              <w:snapToGrid w:val="0"/>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提供产品质量检验记录表，</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抽查:2019年1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lang w:eastAsia="zh-CN"/>
              </w:rPr>
              <w:t>安全梯笼</w:t>
            </w:r>
            <w:r>
              <w:rPr>
                <w:rFonts w:hint="eastAsia" w:asciiTheme="minorEastAsia" w:hAnsiTheme="minorEastAsia" w:eastAsiaTheme="minorEastAsia" w:cstheme="minorEastAsia"/>
                <w:sz w:val="21"/>
                <w:szCs w:val="21"/>
              </w:rPr>
              <w:t>记录表，规格型号</w:t>
            </w:r>
            <w:r>
              <w:rPr>
                <w:rFonts w:hint="eastAsia" w:asciiTheme="minorEastAsia" w:hAnsiTheme="minorEastAsia" w:eastAsiaTheme="minorEastAsia" w:cstheme="minorEastAsia"/>
                <w:sz w:val="21"/>
                <w:szCs w:val="21"/>
                <w:lang w:val="en-US" w:eastAsia="zh-CN"/>
              </w:rPr>
              <w:t>3000*2000*2000</w:t>
            </w:r>
            <w:r>
              <w:rPr>
                <w:rFonts w:hint="eastAsia" w:asciiTheme="minorEastAsia" w:hAnsiTheme="minorEastAsia" w:eastAsiaTheme="minorEastAsia" w:cstheme="minorEastAsia"/>
                <w:sz w:val="21"/>
                <w:szCs w:val="21"/>
              </w:rPr>
              <w:t>mm，数量</w:t>
            </w:r>
            <w:r>
              <w:rPr>
                <w:rFonts w:hint="eastAsia" w:asciiTheme="minorEastAsia" w:hAnsiTheme="minorEastAsia" w:eastAsiaTheme="minorEastAsia" w:cstheme="minorEastAsia"/>
                <w:sz w:val="21"/>
                <w:szCs w:val="21"/>
                <w:lang w:val="en-US" w:eastAsia="zh-CN"/>
              </w:rPr>
              <w:t>120</w:t>
            </w:r>
            <w:r>
              <w:rPr>
                <w:rFonts w:hint="eastAsia" w:asciiTheme="minorEastAsia" w:hAnsiTheme="minorEastAsia" w:eastAsiaTheme="minorEastAsia" w:cstheme="minorEastAsia"/>
                <w:sz w:val="21"/>
                <w:szCs w:val="21"/>
              </w:rPr>
              <w:t>个，</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检验项目：外观（无毛刺、不平、纵筋弯曲、扭曲）、直径公差、长度公差、垂直度公差、横向圆箍间距、焊接质量、纵筋数量等。检验结论：</w:t>
            </w:r>
            <w:r>
              <w:rPr>
                <w:rFonts w:hint="eastAsia" w:asciiTheme="minorEastAsia" w:hAnsiTheme="minorEastAsia" w:eastAsiaTheme="minorEastAsia" w:cstheme="minorEastAsia"/>
                <w:sz w:val="21"/>
                <w:szCs w:val="21"/>
                <w:lang w:val="en-US" w:eastAsia="zh-CN"/>
              </w:rPr>
              <w:t>118</w:t>
            </w:r>
            <w:r>
              <w:rPr>
                <w:rFonts w:hint="eastAsia" w:asciiTheme="minorEastAsia" w:hAnsiTheme="minorEastAsia" w:eastAsiaTheme="minorEastAsia" w:cstheme="minorEastAsia"/>
                <w:sz w:val="21"/>
                <w:szCs w:val="21"/>
              </w:rPr>
              <w:t>个合格，</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个不合格，检验员：</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不合格品是因为喷涂不均，已返工再检验。</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4.4</w:t>
            </w:r>
            <w:r>
              <w:rPr>
                <w:rFonts w:hint="eastAsia" w:asciiTheme="minorEastAsia" w:hAnsiTheme="minorEastAsia" w:eastAsiaTheme="minorEastAsia" w:cstheme="minorEastAsia"/>
                <w:sz w:val="21"/>
                <w:szCs w:val="21"/>
              </w:rPr>
              <w:t>客户验收，</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日客户进厂验收清单，验收单位</w:t>
            </w:r>
            <w:r>
              <w:rPr>
                <w:rFonts w:hint="eastAsia" w:asciiTheme="minorEastAsia" w:hAnsiTheme="minorEastAsia" w:eastAsiaTheme="minorEastAsia" w:cstheme="minorEastAsia"/>
                <w:sz w:val="21"/>
                <w:szCs w:val="21"/>
                <w:lang w:eastAsia="zh-CN"/>
              </w:rPr>
              <w:t>杭州市市政工程集团有限公司</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安全梯笼</w:t>
            </w:r>
            <w:r>
              <w:rPr>
                <w:rFonts w:hint="eastAsia" w:asciiTheme="minorEastAsia" w:hAnsiTheme="minorEastAsia" w:eastAsiaTheme="minorEastAsia" w:cstheme="minorEastAsia"/>
                <w:sz w:val="21"/>
                <w:szCs w:val="21"/>
              </w:rPr>
              <w:t>记录表，规格型号</w:t>
            </w:r>
            <w:r>
              <w:rPr>
                <w:rFonts w:hint="eastAsia" w:asciiTheme="minorEastAsia" w:hAnsiTheme="minorEastAsia" w:eastAsiaTheme="minorEastAsia" w:cstheme="minorEastAsia"/>
                <w:sz w:val="21"/>
                <w:szCs w:val="21"/>
                <w:lang w:val="en-US" w:eastAsia="zh-CN"/>
              </w:rPr>
              <w:t>3000*2000*2000</w:t>
            </w:r>
            <w:r>
              <w:rPr>
                <w:rFonts w:hint="eastAsia" w:asciiTheme="minorEastAsia" w:hAnsiTheme="minorEastAsia" w:eastAsiaTheme="minorEastAsia" w:cstheme="minorEastAsia"/>
                <w:sz w:val="21"/>
                <w:szCs w:val="21"/>
              </w:rPr>
              <w:t>mm，数量</w:t>
            </w:r>
            <w:r>
              <w:rPr>
                <w:rFonts w:hint="eastAsia" w:asciiTheme="minorEastAsia" w:hAnsiTheme="minorEastAsia" w:eastAsiaTheme="minorEastAsia" w:cstheme="minorEastAsia"/>
                <w:sz w:val="21"/>
                <w:szCs w:val="21"/>
                <w:lang w:val="en-US" w:eastAsia="zh-CN"/>
              </w:rPr>
              <w:t>120</w:t>
            </w:r>
            <w:r>
              <w:rPr>
                <w:rFonts w:hint="eastAsia" w:asciiTheme="minorEastAsia" w:hAnsiTheme="minorEastAsia" w:eastAsiaTheme="minorEastAsia" w:cstheme="minorEastAsia"/>
                <w:sz w:val="21"/>
                <w:szCs w:val="21"/>
              </w:rPr>
              <w:t>个，验收合格，验收人</w:t>
            </w:r>
            <w:r>
              <w:rPr>
                <w:rFonts w:hint="eastAsia" w:asciiTheme="minorEastAsia" w:hAnsiTheme="minorEastAsia" w:eastAsiaTheme="minorEastAsia" w:cstheme="minorEastAsia"/>
                <w:sz w:val="21"/>
                <w:szCs w:val="21"/>
                <w:lang w:eastAsia="zh-CN"/>
              </w:rPr>
              <w:t>肖枭</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通过上述记录了解到，组织对产品实现的各过程进行了有效的监视测量，并进行了相应状态的标识，产品必须经检验合格才能交付，确保能满足顾客对产品的质量要求。</w:t>
            </w:r>
          </w:p>
          <w:p>
            <w:pPr>
              <w:snapToGrid w:val="0"/>
              <w:spacing w:line="360" w:lineRule="auto"/>
              <w:rPr>
                <w:b/>
                <w:color w:val="000000" w:themeColor="text1"/>
                <w:sz w:val="20"/>
                <w:szCs w:val="20"/>
              </w:rPr>
            </w:pPr>
            <w:r>
              <w:rPr>
                <w:rFonts w:hint="eastAsia" w:asciiTheme="minorEastAsia" w:hAnsiTheme="minorEastAsia" w:eastAsiaTheme="minorEastAsia" w:cstheme="minorEastAsia"/>
                <w:sz w:val="21"/>
                <w:szCs w:val="21"/>
              </w:rPr>
              <w:t>公司产品的监视和测量控制基本符合规定要求。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0" w:firstLineChars="100"/>
              <w:rPr>
                <w:b w:val="0"/>
                <w:bCs/>
                <w:color w:val="000000" w:themeColor="text1"/>
                <w:sz w:val="20"/>
                <w:szCs w:val="20"/>
              </w:rPr>
            </w:pPr>
          </w:p>
          <w:p>
            <w:pPr>
              <w:spacing w:line="240" w:lineRule="exact"/>
              <w:ind w:firstLine="200" w:firstLineChars="100"/>
              <w:rPr>
                <w:rFonts w:hint="default"/>
                <w:b w:val="0"/>
                <w:bCs/>
                <w:color w:val="FF0000"/>
                <w:sz w:val="20"/>
                <w:szCs w:val="20"/>
                <w:lang w:val="en-US"/>
              </w:rPr>
            </w:pPr>
            <w:r>
              <w:rPr>
                <w:rFonts w:hint="eastAsia"/>
                <w:b w:val="0"/>
                <w:bCs/>
                <w:color w:val="000000" w:themeColor="text1"/>
                <w:sz w:val="20"/>
                <w:szCs w:val="20"/>
                <w:lang w:val="en-US" w:eastAsia="zh-CN"/>
              </w:rPr>
              <w:t>有，见产品型式检验报告，见附件。</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公司明确各类、各阶段的不合格的控制管控要求，包括输入（来料）阶段、过程监视和测量阶段、输出（出货）阶段的不合格之识别、确定、标识、处置措施等，详见《不合格控制程序》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公司明确并实施处置不合格输出的途径及其不合格的处置方法选择、采取措施的程度取决于不合格的性质及其对产品和服务的影响程度。要求在进行纠正之后须实施再验证。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抽查《不合格处理单》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日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不合格描述：产品抽检</w:t>
            </w:r>
            <w:r>
              <w:rPr>
                <w:rFonts w:hint="eastAsia" w:asciiTheme="minorEastAsia" w:hAnsiTheme="minorEastAsia" w:eastAsiaTheme="minorEastAsia" w:cstheme="minorEastAsia"/>
                <w:sz w:val="21"/>
                <w:szCs w:val="21"/>
                <w:lang w:val="en-US" w:eastAsia="zh-CN"/>
              </w:rPr>
              <w:t>焊接</w:t>
            </w:r>
            <w:r>
              <w:rPr>
                <w:rFonts w:hint="eastAsia" w:asciiTheme="minorEastAsia" w:hAnsiTheme="minorEastAsia" w:eastAsiaTheme="minorEastAsia" w:cstheme="minorEastAsia"/>
                <w:sz w:val="21"/>
                <w:szCs w:val="21"/>
              </w:rPr>
              <w:t xml:space="preserve">尺寸不合格，测量后尺寸超出允差范围。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产生原因：焊机固件使用过久，出现松动，导致焊接尺寸不精确。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处理方案：报废；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处理结果：已经报废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验证人：</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 xml:space="preserve">  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日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经查，该公司体系运行以来没发生对不合格品进行让步放行的情况，</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 xml:space="preserve">部门对不合格品的性质、处理的措施及结论的结果进行了记录及保持。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rPr>
            </w:pPr>
            <w:r>
              <w:rPr>
                <w:rFonts w:hint="eastAsia"/>
              </w:rPr>
              <w:t>OHSMS组织对不可接受风险实施控制的结果</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color w:val="auto"/>
                <w:sz w:val="21"/>
                <w:szCs w:val="21"/>
              </w:rPr>
              <w:t>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安全生产责任制</w:t>
            </w:r>
            <w:r>
              <w:rPr>
                <w:rFonts w:hint="eastAsia" w:asciiTheme="minorEastAsia" w:hAnsiTheme="minorEastAsia" w:eastAsiaTheme="minorEastAsia" w:cstheme="minorEastAsia"/>
                <w:color w:val="auto"/>
                <w:sz w:val="21"/>
                <w:szCs w:val="21"/>
                <w:lang w:eastAsia="zh-CN"/>
              </w:rPr>
              <w:t>》，《消防管理制度汇编》</w:t>
            </w:r>
          </w:p>
          <w:p>
            <w:pPr>
              <w:jc w:val="both"/>
              <w:rPr>
                <w:rFonts w:hint="eastAsia"/>
                <w:color w:val="auto"/>
                <w:sz w:val="21"/>
                <w:szCs w:val="21"/>
                <w:lang w:val="en-US" w:eastAsia="zh-CN"/>
              </w:rPr>
            </w:pPr>
            <w:r>
              <w:rPr>
                <w:rFonts w:hint="eastAsia" w:asciiTheme="minorEastAsia" w:hAnsiTheme="minorEastAsia" w:eastAsiaTheme="minorEastAsia" w:cstheme="minorEastAsia"/>
                <w:b w:val="0"/>
                <w:bCs/>
                <w:color w:val="auto"/>
                <w:sz w:val="21"/>
                <w:szCs w:val="21"/>
              </w:rPr>
              <w:t>火灾事故预防：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rPr>
                <w:rFonts w:hint="eastAsia" w:asciiTheme="minorEastAsia" w:hAnsiTheme="minorEastAsia" w:eastAsiaTheme="minorEastAsia" w:cstheme="minorEastAsia"/>
                <w:bCs/>
                <w:color w:val="auto"/>
                <w:spacing w:val="10"/>
                <w:kern w:val="2"/>
                <w:sz w:val="21"/>
                <w:szCs w:val="21"/>
                <w:lang w:val="en-US" w:eastAsia="zh-CN" w:bidi="ar-SA"/>
              </w:rPr>
            </w:pPr>
            <w:r>
              <w:rPr>
                <w:rFonts w:hint="eastAsia" w:ascii="宋体" w:hAnsi="宋体"/>
                <w:color w:val="auto"/>
                <w:sz w:val="21"/>
                <w:szCs w:val="21"/>
              </w:rPr>
              <w:t>安全用电：不随便拉电线，不随便使用大功率电器；</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意外伤害：操作规程，人员经过培训，设备定期保养，</w:t>
            </w:r>
            <w:r>
              <w:rPr>
                <w:rFonts w:hint="eastAsia"/>
                <w:color w:val="auto"/>
                <w:sz w:val="21"/>
                <w:szCs w:val="21"/>
              </w:rPr>
              <w:t>有医药箱（创可贴、医用酒精、碘伏、藿香正气胶囊</w:t>
            </w:r>
            <w:r>
              <w:rPr>
                <w:rFonts w:hint="eastAsia"/>
                <w:color w:val="auto"/>
                <w:sz w:val="21"/>
                <w:szCs w:val="21"/>
                <w:lang w:val="en-US" w:eastAsia="zh-CN"/>
              </w:rPr>
              <w:t>等</w:t>
            </w:r>
            <w:r>
              <w:rPr>
                <w:rFonts w:hint="eastAsia"/>
                <w:color w:val="auto"/>
                <w:sz w:val="21"/>
                <w:szCs w:val="21"/>
              </w:rPr>
              <w:t>）；</w:t>
            </w:r>
          </w:p>
          <w:p>
            <w:pPr>
              <w:jc w:val="both"/>
              <w:rPr>
                <w:rFonts w:hint="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r>
              <w:rPr>
                <w:rFonts w:hint="eastAsia" w:ascii="宋体" w:hAnsi="宋体"/>
                <w:color w:val="auto"/>
                <w:sz w:val="21"/>
                <w:szCs w:val="21"/>
              </w:rPr>
              <w:t>有消防栓、灭火器（干粉、水基）；</w:t>
            </w:r>
          </w:p>
          <w:p>
            <w:pPr>
              <w:numPr>
                <w:ilvl w:val="0"/>
                <w:numId w:val="0"/>
              </w:numPr>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人员参保：有人员参保，见附件</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tabs>
                <w:tab w:val="right" w:pos="10732"/>
              </w:tabs>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提供员工体检清单：见杨丽萍、张青等人体检单，</w:t>
            </w:r>
            <w:r>
              <w:rPr>
                <w:rFonts w:hint="eastAsia" w:asciiTheme="minorEastAsia" w:hAnsiTheme="minorEastAsia" w:eastAsiaTheme="minorEastAsia" w:cstheme="minorEastAsia"/>
                <w:b w:val="0"/>
                <w:bCs/>
                <w:color w:val="FF0000"/>
                <w:sz w:val="21"/>
                <w:szCs w:val="21"/>
                <w:u w:val="single"/>
                <w:lang w:val="en-US" w:eastAsia="zh-CN"/>
              </w:rPr>
              <w:t>焊工2020年体检在疫情结束之后进行，远程审核时提供。（观察项</w:t>
            </w:r>
            <w:r>
              <w:rPr>
                <w:rFonts w:hint="eastAsia" w:asciiTheme="minorEastAsia" w:hAnsiTheme="minorEastAsia" w:eastAsiaTheme="minorEastAsia" w:cstheme="minorEastAsia"/>
                <w:b w:val="0"/>
                <w:bCs/>
                <w:color w:val="auto"/>
                <w:sz w:val="21"/>
                <w:szCs w:val="21"/>
                <w:u w:val="single"/>
                <w:lang w:val="en-US" w:eastAsia="zh-CN"/>
              </w:rPr>
              <w:t>）</w:t>
            </w:r>
          </w:p>
          <w:p>
            <w:pPr>
              <w:widowControl w:val="0"/>
              <w:numPr>
                <w:ilvl w:val="0"/>
                <w:numId w:val="0"/>
              </w:numPr>
              <w:jc w:val="both"/>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提供员工个人防护清单，有劳保用品:口罩、手套、安全帽等发放记录。</w:t>
            </w:r>
          </w:p>
          <w:p>
            <w:pPr>
              <w:pStyle w:val="2"/>
              <w:rPr>
                <w:rFonts w:hint="eastAsia" w:ascii="宋体" w:hAnsi="宋体" w:cs="宋体"/>
                <w:sz w:val="21"/>
                <w:szCs w:val="21"/>
              </w:rPr>
            </w:pPr>
            <w:r>
              <w:rPr>
                <w:rFonts w:hint="eastAsia" w:ascii="宋体" w:hAnsi="宋体" w:cs="宋体"/>
                <w:sz w:val="21"/>
                <w:szCs w:val="21"/>
              </w:rPr>
              <w:t>职业健康安全体系建立了</w:t>
            </w:r>
            <w:r>
              <w:rPr>
                <w:rFonts w:hint="eastAsia" w:ascii="宋体" w:hAnsi="宋体" w:cs="宋体"/>
                <w:sz w:val="21"/>
                <w:szCs w:val="21"/>
                <w:lang w:eastAsia="zh-CN"/>
              </w:rPr>
              <w:t>《安全生产事故应急预案》</w:t>
            </w:r>
            <w:r>
              <w:rPr>
                <w:rFonts w:hint="eastAsia" w:ascii="宋体" w:hAnsi="宋体" w:cs="宋体"/>
                <w:sz w:val="21"/>
                <w:szCs w:val="21"/>
              </w:rPr>
              <w:t>，查：</w:t>
            </w:r>
          </w:p>
          <w:p>
            <w:pPr>
              <w:pStyle w:val="2"/>
              <w:rPr>
                <w:sz w:val="21"/>
                <w:szCs w:val="21"/>
              </w:rPr>
            </w:pPr>
            <w:r>
              <w:rPr>
                <w:rFonts w:hint="eastAsia"/>
                <w:sz w:val="21"/>
                <w:szCs w:val="21"/>
                <w:lang w:val="en-US" w:eastAsia="zh-CN"/>
              </w:rPr>
              <w:t>对</w:t>
            </w:r>
            <w:r>
              <w:rPr>
                <w:sz w:val="21"/>
                <w:szCs w:val="21"/>
              </w:rPr>
              <w:fldChar w:fldCharType="begin"/>
            </w:r>
            <w:r>
              <w:rPr>
                <w:sz w:val="21"/>
                <w:szCs w:val="21"/>
              </w:rPr>
              <w:instrText xml:space="preserve"> HYPERLINK "http://www.hbsafety.cn/article/65/" \t "_blank" </w:instrText>
            </w:r>
            <w:r>
              <w:rPr>
                <w:sz w:val="21"/>
                <w:szCs w:val="21"/>
              </w:rPr>
              <w:fldChar w:fldCharType="separate"/>
            </w:r>
            <w:r>
              <w:rPr>
                <w:rFonts w:hint="eastAsia"/>
                <w:sz w:val="21"/>
                <w:szCs w:val="21"/>
              </w:rPr>
              <w:t>火灾</w:t>
            </w:r>
            <w:r>
              <w:rPr>
                <w:sz w:val="21"/>
                <w:szCs w:val="21"/>
              </w:rPr>
              <w:fldChar w:fldCharType="end"/>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lang w:eastAsia="zh-CN"/>
              </w:rPr>
              <w:t>远程</w:t>
            </w:r>
            <w:r>
              <w:rPr>
                <w:rFonts w:hint="eastAsia"/>
                <w:sz w:val="21"/>
                <w:szCs w:val="21"/>
              </w:rPr>
              <w:t>处置措施：触电</w:t>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lang w:eastAsia="zh-CN"/>
              </w:rPr>
              <w:t>远程</w:t>
            </w:r>
            <w:r>
              <w:rPr>
                <w:rFonts w:hint="eastAsia"/>
                <w:sz w:val="21"/>
                <w:szCs w:val="21"/>
              </w:rPr>
              <w:t>处置：机械伤害</w:t>
            </w:r>
            <w:r>
              <w:rPr>
                <w:sz w:val="21"/>
                <w:szCs w:val="21"/>
              </w:rPr>
              <w:fldChar w:fldCharType="begin"/>
            </w:r>
            <w:r>
              <w:rPr>
                <w:sz w:val="21"/>
                <w:szCs w:val="21"/>
              </w:rPr>
              <w:instrText xml:space="preserve"> HYPERLINK "http://www.hbsafety.cn/article/33/" \t "_blank" </w:instrText>
            </w:r>
            <w:r>
              <w:rPr>
                <w:sz w:val="21"/>
                <w:szCs w:val="21"/>
              </w:rPr>
              <w:fldChar w:fldCharType="separate"/>
            </w:r>
            <w:r>
              <w:rPr>
                <w:rFonts w:hint="eastAsia"/>
                <w:sz w:val="21"/>
                <w:szCs w:val="21"/>
              </w:rPr>
              <w:t>事故</w:t>
            </w:r>
            <w:r>
              <w:rPr>
                <w:sz w:val="21"/>
                <w:szCs w:val="21"/>
              </w:rPr>
              <w:fldChar w:fldCharType="end"/>
            </w:r>
            <w:r>
              <w:rPr>
                <w:rFonts w:hint="eastAsia"/>
                <w:sz w:val="21"/>
                <w:szCs w:val="21"/>
              </w:rPr>
              <w:t>处置措施：</w:t>
            </w:r>
            <w:r>
              <w:rPr>
                <w:sz w:val="21"/>
                <w:szCs w:val="21"/>
              </w:rPr>
              <w:t xml:space="preserve"> </w:t>
            </w:r>
            <w:r>
              <w:rPr>
                <w:rFonts w:hint="eastAsia"/>
                <w:sz w:val="21"/>
                <w:szCs w:val="21"/>
                <w:lang w:val="en-US" w:eastAsia="zh-CN"/>
              </w:rPr>
              <w:t>均制定了相应的急救措施。</w:t>
            </w:r>
            <w:r>
              <w:rPr>
                <w:sz w:val="21"/>
                <w:szCs w:val="21"/>
              </w:rPr>
              <w:t xml:space="preserve"> </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针对职业健康安全目标，企业制定了措施：1、员工安全培训，制定应急响应；2、配置适量的消防器材；3、对操作工进行设备安全操作培训；4、对设备进行日常维护保养；5、危险部位、运转部位进行防护措施；6、张贴警示标识；7、按期发放劳保用品并检查正确穿戴情况；8安装环保设备，在厂房内无组织排放；9厂房隔声，配套消音器、基础减震；10员工带口罩、耳塞.公司共计投入5万元启动资金用于安全防护。由综合部负责管理。</w:t>
            </w:r>
          </w:p>
          <w:p>
            <w:pPr>
              <w:pStyle w:val="2"/>
              <w:numPr>
                <w:ilvl w:val="0"/>
                <w:numId w:val="0"/>
              </w:numPr>
            </w:pPr>
            <w:r>
              <w:rPr>
                <w:rFonts w:hint="eastAsia" w:ascii="宋体" w:hAnsi="宋体" w:cs="宋体"/>
                <w:sz w:val="21"/>
                <w:szCs w:val="21"/>
                <w:lang w:val="en-US" w:eastAsia="zh-CN"/>
              </w:rPr>
              <w:t>查看《消防器材更新维护记录》、《劳保用品领用登记表》、《企业环境安全大检查记录表》记录完善。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420" w:firstLineChars="200"/>
              <w:rPr>
                <w:rFonts w:ascii="宋体" w:hAnsi="宋体" w:cs="宋体"/>
                <w:sz w:val="21"/>
                <w:szCs w:val="21"/>
                <w:lang w:val="en-GB"/>
              </w:rPr>
            </w:pPr>
            <w:r>
              <w:rPr>
                <w:rFonts w:hint="eastAsia" w:ascii="宋体" w:hAnsi="宋体" w:cs="宋体"/>
                <w:sz w:val="21"/>
                <w:szCs w:val="21"/>
                <w:lang w:val="en-GB"/>
              </w:rPr>
              <w:t>制定了《</w:t>
            </w:r>
            <w:r>
              <w:rPr>
                <w:rFonts w:hint="eastAsia" w:ascii="宋体" w:hAnsi="宋体"/>
                <w:iCs/>
                <w:sz w:val="21"/>
                <w:szCs w:val="21"/>
              </w:rPr>
              <w:t>应急准备和响应控制程序</w:t>
            </w:r>
            <w:r>
              <w:rPr>
                <w:rFonts w:hint="eastAsia" w:ascii="宋体" w:hAnsi="宋体" w:cs="宋体"/>
                <w:sz w:val="21"/>
                <w:szCs w:val="21"/>
                <w:lang w:val="en-GB"/>
              </w:rPr>
              <w:t>》，包含有事件级别及不同级别事件的处理程序、事件处理组织机构及职责分工、通用及特殊处理程序、各岗位要求等。具有可操作性。</w:t>
            </w:r>
          </w:p>
          <w:p>
            <w:pPr>
              <w:rPr>
                <w:rFonts w:hint="eastAsia"/>
                <w:bCs/>
                <w:sz w:val="21"/>
                <w:szCs w:val="21"/>
                <w:lang w:val="en-US" w:eastAsia="zh-CN"/>
              </w:rPr>
            </w:pPr>
            <w:r>
              <w:rPr>
                <w:rFonts w:hint="eastAsia"/>
                <w:bCs/>
                <w:sz w:val="21"/>
                <w:szCs w:val="21"/>
              </w:rPr>
              <w:t>查到</w:t>
            </w:r>
            <w:r>
              <w:rPr>
                <w:rFonts w:hint="eastAsia"/>
                <w:bCs/>
                <w:sz w:val="21"/>
                <w:szCs w:val="21"/>
                <w:lang w:eastAsia="zh-CN"/>
              </w:rPr>
              <w:t>《安全生产应急预案》，</w:t>
            </w:r>
            <w:r>
              <w:rPr>
                <w:rFonts w:hint="eastAsia"/>
                <w:bCs/>
                <w:sz w:val="21"/>
                <w:szCs w:val="21"/>
                <w:lang w:val="en-US" w:eastAsia="zh-CN"/>
              </w:rPr>
              <w:t>成立应急指挥小组</w:t>
            </w:r>
          </w:p>
          <w:p>
            <w:pPr>
              <w:rPr>
                <w:rFonts w:hint="eastAsia"/>
                <w:bCs/>
                <w:sz w:val="21"/>
                <w:szCs w:val="21"/>
                <w:lang w:val="en-US" w:eastAsia="zh-CN"/>
              </w:rPr>
            </w:pPr>
            <w:r>
              <w:rPr>
                <w:rFonts w:hint="eastAsia"/>
                <w:bCs/>
                <w:sz w:val="21"/>
                <w:szCs w:val="21"/>
                <w:lang w:val="en-US" w:eastAsia="zh-CN"/>
              </w:rPr>
              <w:t>成员</w:t>
            </w:r>
          </w:p>
          <w:p>
            <w:pPr>
              <w:rPr>
                <w:rFonts w:hint="eastAsia"/>
                <w:bCs/>
                <w:sz w:val="21"/>
                <w:szCs w:val="21"/>
                <w:lang w:val="en-US" w:eastAsia="zh-CN"/>
              </w:rPr>
            </w:pPr>
            <w:r>
              <w:rPr>
                <w:rFonts w:hint="eastAsia"/>
                <w:bCs/>
                <w:sz w:val="21"/>
                <w:szCs w:val="21"/>
                <w:lang w:val="en-US" w:eastAsia="zh-CN"/>
              </w:rPr>
              <w:t>组长：丁荟荟，电话：18956670788</w:t>
            </w:r>
          </w:p>
          <w:p>
            <w:pPr>
              <w:rPr>
                <w:rFonts w:hint="eastAsia"/>
                <w:bCs/>
                <w:sz w:val="21"/>
                <w:szCs w:val="21"/>
                <w:lang w:val="en-US" w:eastAsia="zh-CN"/>
              </w:rPr>
            </w:pPr>
            <w:r>
              <w:rPr>
                <w:rFonts w:hint="eastAsia"/>
                <w:bCs/>
                <w:sz w:val="21"/>
                <w:szCs w:val="21"/>
                <w:lang w:val="en-US" w:eastAsia="zh-CN"/>
              </w:rPr>
              <w:t>副组长：张伟，电话：18956626653</w:t>
            </w:r>
          </w:p>
          <w:p>
            <w:pPr>
              <w:rPr>
                <w:rFonts w:hint="eastAsia"/>
                <w:bCs/>
                <w:sz w:val="21"/>
                <w:szCs w:val="21"/>
                <w:lang w:val="en-US" w:eastAsia="zh-CN"/>
              </w:rPr>
            </w:pPr>
            <w:r>
              <w:rPr>
                <w:rFonts w:hint="eastAsia"/>
                <w:bCs/>
                <w:sz w:val="21"/>
                <w:szCs w:val="21"/>
                <w:lang w:val="en-US" w:eastAsia="zh-CN"/>
              </w:rPr>
              <w:t>成 员：张青、杨丽萍、高怀亮、李成斌等员工。</w:t>
            </w:r>
          </w:p>
          <w:p>
            <w:pPr>
              <w:rPr>
                <w:rFonts w:hint="eastAsia"/>
                <w:sz w:val="21"/>
                <w:szCs w:val="21"/>
                <w:lang w:val="en-US" w:eastAsia="zh-CN"/>
              </w:rPr>
            </w:pPr>
            <w:r>
              <w:rPr>
                <w:rFonts w:hint="eastAsia" w:ascii="宋体" w:hAnsi="宋体" w:cs="宋体"/>
                <w:sz w:val="21"/>
                <w:szCs w:val="21"/>
                <w:lang w:val="en-GB"/>
              </w:rPr>
              <w:t>应急预案不重要修订。</w:t>
            </w:r>
            <w:r>
              <w:rPr>
                <w:rFonts w:hint="eastAsia" w:cs="楷体" w:asciiTheme="minorEastAsia" w:hAnsiTheme="minorEastAsia" w:eastAsiaTheme="minorEastAsia"/>
                <w:sz w:val="21"/>
                <w:szCs w:val="21"/>
              </w:rPr>
              <w:t>自体系运行以来尚未发生紧急情况。</w:t>
            </w:r>
          </w:p>
          <w:p>
            <w:pPr>
              <w:rPr>
                <w:rFonts w:hint="eastAsia"/>
                <w:bCs/>
                <w:sz w:val="21"/>
                <w:szCs w:val="21"/>
                <w:lang w:val="en-US" w:eastAsia="zh-CN"/>
              </w:rPr>
            </w:pPr>
            <w:r>
              <w:rPr>
                <w:rFonts w:hint="eastAsia"/>
                <w:bCs/>
                <w:sz w:val="21"/>
                <w:szCs w:val="21"/>
                <w:lang w:val="en-US" w:eastAsia="zh-CN"/>
              </w:rPr>
              <w:t>查看《应急预案演练记录》</w:t>
            </w:r>
            <w:r>
              <w:rPr>
                <w:rFonts w:hint="eastAsia"/>
                <w:bCs/>
                <w:sz w:val="21"/>
                <w:szCs w:val="21"/>
              </w:rPr>
              <w:t xml:space="preserve"> </w:t>
            </w:r>
            <w:r>
              <w:rPr>
                <w:rFonts w:hint="eastAsia"/>
                <w:bCs/>
                <w:sz w:val="21"/>
                <w:szCs w:val="21"/>
                <w:lang w:val="en-US" w:eastAsia="zh-CN"/>
              </w:rPr>
              <w:t>记录</w:t>
            </w:r>
            <w:r>
              <w:rPr>
                <w:rFonts w:hint="eastAsia"/>
                <w:bCs/>
                <w:sz w:val="21"/>
                <w:szCs w:val="21"/>
              </w:rPr>
              <w:t>：</w:t>
            </w:r>
            <w:r>
              <w:rPr>
                <w:rFonts w:hint="eastAsia"/>
                <w:bCs/>
                <w:sz w:val="21"/>
                <w:szCs w:val="21"/>
                <w:lang w:val="en-US" w:eastAsia="zh-CN"/>
              </w:rPr>
              <w:t>张伟</w:t>
            </w:r>
            <w:r>
              <w:rPr>
                <w:rFonts w:hint="eastAsia"/>
                <w:bCs/>
                <w:sz w:val="21"/>
                <w:szCs w:val="21"/>
              </w:rPr>
              <w:t xml:space="preserve">  审核：</w:t>
            </w:r>
            <w:r>
              <w:rPr>
                <w:rFonts w:hint="eastAsia"/>
                <w:bCs/>
                <w:sz w:val="21"/>
                <w:szCs w:val="21"/>
                <w:lang w:val="en-US" w:eastAsia="zh-CN"/>
              </w:rPr>
              <w:t>丁荟荟</w:t>
            </w:r>
            <w:r>
              <w:rPr>
                <w:rFonts w:hint="eastAsia"/>
                <w:bCs/>
                <w:sz w:val="21"/>
                <w:szCs w:val="21"/>
              </w:rPr>
              <w:t xml:space="preserve"> 日期：</w:t>
            </w:r>
            <w:r>
              <w:rPr>
                <w:rFonts w:hint="eastAsia" w:ascii="宋体" w:hAnsi="宋体"/>
                <w:sz w:val="21"/>
                <w:szCs w:val="21"/>
                <w:lang w:eastAsia="zh-CN"/>
              </w:rPr>
              <w:t>2019年</w:t>
            </w:r>
            <w:r>
              <w:rPr>
                <w:rFonts w:hint="eastAsia" w:ascii="宋体" w:hAnsi="宋体"/>
                <w:sz w:val="21"/>
                <w:szCs w:val="21"/>
                <w:lang w:val="en-US" w:eastAsia="zh-CN"/>
              </w:rPr>
              <w:t>11</w:t>
            </w:r>
            <w:r>
              <w:rPr>
                <w:rFonts w:hint="eastAsia" w:ascii="宋体" w:hAnsi="宋体"/>
                <w:sz w:val="21"/>
                <w:szCs w:val="21"/>
                <w:lang w:eastAsia="zh-CN"/>
              </w:rPr>
              <w:t>月</w:t>
            </w:r>
            <w:r>
              <w:rPr>
                <w:rFonts w:hint="eastAsia" w:ascii="宋体" w:hAnsi="宋体"/>
                <w:sz w:val="21"/>
                <w:szCs w:val="21"/>
                <w:lang w:val="en-US" w:eastAsia="zh-CN"/>
              </w:rPr>
              <w:t>25</w:t>
            </w:r>
            <w:r>
              <w:rPr>
                <w:rFonts w:hint="eastAsia" w:ascii="宋体" w:hAnsi="宋体"/>
                <w:sz w:val="21"/>
                <w:szCs w:val="21"/>
                <w:lang w:eastAsia="zh-CN"/>
              </w:rPr>
              <w:t>日</w:t>
            </w:r>
            <w:r>
              <w:rPr>
                <w:rFonts w:hint="eastAsia"/>
                <w:bCs/>
                <w:sz w:val="21"/>
                <w:szCs w:val="21"/>
                <w:lang w:eastAsia="zh-CN"/>
              </w:rPr>
              <w:t>，</w:t>
            </w:r>
            <w:r>
              <w:rPr>
                <w:rFonts w:hint="eastAsia"/>
                <w:bCs/>
                <w:sz w:val="21"/>
                <w:szCs w:val="21"/>
                <w:lang w:val="en-US" w:eastAsia="zh-CN"/>
              </w:rPr>
              <w:t>进行“火灾消防应急预案演练”，</w:t>
            </w:r>
          </w:p>
          <w:p>
            <w:pPr>
              <w:pStyle w:val="2"/>
              <w:rPr>
                <w:rFonts w:hint="eastAsia" w:ascii="宋体" w:hAnsi="宋体"/>
                <w:sz w:val="21"/>
                <w:szCs w:val="21"/>
                <w:lang w:eastAsia="zh-CN"/>
              </w:rPr>
            </w:pPr>
            <w:r>
              <w:rPr>
                <w:rFonts w:hint="eastAsia" w:ascii="宋体" w:hAnsi="宋体"/>
                <w:sz w:val="21"/>
                <w:szCs w:val="21"/>
              </w:rPr>
              <w:t>演练程序：报警、警戒、疏散、急救预演、器材使用</w:t>
            </w:r>
            <w:r>
              <w:rPr>
                <w:rFonts w:hint="eastAsia" w:ascii="宋体" w:hAnsi="宋体"/>
                <w:sz w:val="21"/>
                <w:szCs w:val="21"/>
                <w:lang w:eastAsia="zh-CN"/>
              </w:rPr>
              <w:t>。</w:t>
            </w:r>
          </w:p>
          <w:p>
            <w:pPr>
              <w:pStyle w:val="2"/>
              <w:rPr>
                <w:rFonts w:hint="eastAsia" w:ascii="宋体" w:hAnsi="宋体"/>
                <w:sz w:val="21"/>
                <w:szCs w:val="21"/>
                <w:lang w:val="en-US" w:eastAsia="zh-CN"/>
              </w:rPr>
            </w:pPr>
            <w:r>
              <w:rPr>
                <w:rFonts w:hint="eastAsia" w:ascii="宋体" w:hAnsi="宋体"/>
                <w:sz w:val="21"/>
                <w:szCs w:val="21"/>
                <w:lang w:val="en-US" w:eastAsia="zh-CN"/>
              </w:rPr>
              <w:t>改进措施：</w:t>
            </w:r>
          </w:p>
          <w:p>
            <w:pPr>
              <w:numPr>
                <w:ilvl w:val="0"/>
                <w:numId w:val="0"/>
              </w:num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、预案前的准备工作即基础教育工作需进一步加强；</w:t>
            </w:r>
          </w:p>
          <w:p>
            <w:pPr>
              <w:numPr>
                <w:ilvl w:val="0"/>
                <w:numId w:val="0"/>
              </w:numPr>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、演练纪律性方面对装备部及经营部仓库提出批评；</w:t>
            </w:r>
          </w:p>
          <w:p>
            <w:pPr>
              <w:pStyle w:val="2"/>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、管理部门加强MSDS信息搜集工作及风险识别工作。</w:t>
            </w:r>
          </w:p>
          <w:p>
            <w:pPr>
              <w:spacing w:line="240" w:lineRule="exact"/>
              <w:rPr>
                <w:b/>
                <w:color w:val="000000" w:themeColor="text1"/>
                <w:spacing w:val="-4"/>
                <w:sz w:val="20"/>
                <w:szCs w:val="20"/>
              </w:rPr>
            </w:pPr>
            <w:r>
              <w:rPr>
                <w:rFonts w:hint="eastAsia" w:ascii="宋体" w:hAnsi="宋体"/>
                <w:color w:val="auto"/>
                <w:sz w:val="21"/>
                <w:szCs w:val="21"/>
                <w:lang w:val="en-US" w:eastAsia="zh-CN"/>
              </w:rPr>
              <w:t>另有《触电事故应急演练记录》，《高空坠落事故演练记录》，《机械伤害事故应急演练记录》演练成功进行，应急预案有效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特种设备：2.8</w:t>
            </w:r>
            <w:r>
              <w:rPr>
                <w:rFonts w:hint="eastAsia" w:asciiTheme="minorEastAsia" w:hAnsiTheme="minorEastAsia" w:eastAsiaTheme="minorEastAsia" w:cstheme="minorEastAsia"/>
                <w:sz w:val="21"/>
                <w:szCs w:val="21"/>
              </w:rPr>
              <w:t>T行车一台</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w:t>
            </w:r>
            <w:r>
              <w:rPr>
                <w:rFonts w:hint="eastAsia" w:asciiTheme="minorEastAsia" w:hAnsiTheme="minorEastAsia" w:eastAsiaTheme="minorEastAsia" w:cstheme="minorEastAsia"/>
                <w:sz w:val="21"/>
                <w:szCs w:val="21"/>
              </w:rPr>
              <w:t>种设备：</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T行</w:t>
            </w:r>
            <w:r>
              <w:rPr>
                <w:rFonts w:hint="eastAsia" w:asciiTheme="minorEastAsia" w:hAnsiTheme="minorEastAsia" w:eastAsiaTheme="minorEastAsia" w:cstheme="minorEastAsia"/>
                <w:kern w:val="2"/>
                <w:sz w:val="21"/>
                <w:szCs w:val="21"/>
                <w:lang w:val="en-US" w:eastAsia="zh-CN" w:bidi="ar-SA"/>
              </w:rPr>
              <w:t>车一台。（2014年10月30日国家质检总局最新颁发的特种设备目录。目录中，≤3吨的电动葫芦桥式起重机取消年检。）</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lang w:val="en-US" w:eastAsia="zh-CN"/>
              </w:rPr>
              <w:t>但</w:t>
            </w:r>
            <w:r>
              <w:rPr>
                <w:rFonts w:hint="eastAsia" w:asciiTheme="minorEastAsia" w:hAnsiTheme="minorEastAsia" w:eastAsiaTheme="minorEastAsia" w:cstheme="minorEastAsia"/>
                <w:kern w:val="2"/>
                <w:sz w:val="21"/>
                <w:szCs w:val="21"/>
                <w:lang w:val="en-US" w:eastAsia="zh-CN" w:bidi="ar-SA"/>
              </w:rPr>
              <w:t>是企业进行了自查，提供维保记录表，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420" w:firstLineChars="200"/>
              <w:rPr>
                <w:rFonts w:hint="eastAsia"/>
                <w:color w:val="auto"/>
                <w:sz w:val="21"/>
                <w:szCs w:val="21"/>
              </w:rPr>
            </w:pPr>
            <w:r>
              <w:rPr>
                <w:rFonts w:hint="eastAsia"/>
                <w:color w:val="auto"/>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pPr>
              <w:spacing w:line="240" w:lineRule="exact"/>
              <w:ind w:firstLine="105" w:firstLineChars="50"/>
              <w:rPr>
                <w:b/>
                <w:color w:val="000000" w:themeColor="text1"/>
                <w:sz w:val="20"/>
                <w:szCs w:val="20"/>
              </w:rPr>
            </w:pPr>
            <w:r>
              <w:rPr>
                <w:rFonts w:hint="eastAsia"/>
                <w:color w:val="auto"/>
                <w:sz w:val="21"/>
                <w:szCs w:val="21"/>
              </w:rPr>
              <w:t>公司通过管理评审和内部审核，以及定期的质量目标考核，对发现的问题采取纠正和必要的纠正措施，确保管理体系的绩效和有效性。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5" w:hangingChars="50"/>
              <w:rPr>
                <w:rFonts w:hint="eastAsia"/>
              </w:rPr>
            </w:pPr>
            <w:r>
              <w:rPr>
                <w:rFonts w:hint="eastAsia"/>
              </w:rPr>
              <w:t>顾客满意</w:t>
            </w:r>
          </w:p>
          <w:p>
            <w:pPr>
              <w:rPr>
                <w:lang w:val="zh-CN"/>
              </w:rPr>
            </w:pPr>
            <w:r>
              <w:rPr>
                <w:rFonts w:hint="eastAsia" w:cs="宋体"/>
                <w:lang w:val="zh-CN"/>
              </w:rPr>
              <w:t>公司通过电话，走访等形式，接受顾客反馈，了解顾客顾客满意度信息，发放调查表对顾客满意度进行定量测量。</w:t>
            </w:r>
          </w:p>
          <w:p>
            <w:pPr>
              <w:pStyle w:val="2"/>
              <w:numPr>
                <w:ilvl w:val="0"/>
                <w:numId w:val="0"/>
              </w:numPr>
            </w:pPr>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w:t>
            </w:r>
            <w:r>
              <w:rPr>
                <w:rFonts w:hint="eastAsia" w:cs="宋体"/>
                <w:lang w:eastAsia="zh-CN"/>
              </w:rPr>
              <w:t>，</w:t>
            </w:r>
            <w:r>
              <w:rPr>
                <w:rFonts w:hint="eastAsia" w:cs="宋体"/>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公司编制并实施了</w:t>
            </w:r>
            <w:r>
              <w:rPr>
                <w:rFonts w:hint="eastAsia" w:asciiTheme="minorEastAsia" w:hAnsiTheme="minorEastAsia" w:eastAsiaTheme="minorEastAsia" w:cstheme="minorEastAsia"/>
                <w:color w:val="auto"/>
                <w:sz w:val="21"/>
                <w:szCs w:val="21"/>
                <w:lang w:eastAsia="zh-CN"/>
              </w:rPr>
              <w:t xml:space="preserve">XL </w:t>
            </w:r>
            <w:r>
              <w:rPr>
                <w:rFonts w:hint="eastAsia" w:asciiTheme="minorEastAsia" w:hAnsiTheme="minorEastAsia" w:eastAsiaTheme="minorEastAsia" w:cstheme="minorEastAsia"/>
                <w:color w:val="auto"/>
                <w:sz w:val="21"/>
                <w:szCs w:val="21"/>
              </w:rPr>
              <w:t>/QES02</w:t>
            </w:r>
            <w:r>
              <w:rPr>
                <w:rFonts w:hint="eastAsia" w:asciiTheme="minorEastAsia" w:hAnsiTheme="minorEastAsia" w:eastAsiaTheme="minorEastAsia" w:cstheme="minorEastAsia"/>
                <w:color w:val="auto"/>
                <w:sz w:val="21"/>
                <w:szCs w:val="21"/>
                <w:lang w:eastAsia="zh-CN"/>
              </w:rPr>
              <w:t>-2019</w:t>
            </w:r>
            <w:r>
              <w:rPr>
                <w:rFonts w:hint="eastAsia" w:asciiTheme="minorEastAsia" w:hAnsiTheme="minorEastAsia" w:eastAsiaTheme="minorEastAsia" w:cstheme="minorEastAsia"/>
                <w:color w:val="auto"/>
                <w:sz w:val="21"/>
                <w:szCs w:val="21"/>
              </w:rPr>
              <w:t>-21《内部审核控制程序》，并能按标准规定对内部审核的策划、实施、人员安排与资质、内部审核的记录、不符合项的分析与验证，以及审核的结论等开展内部审核。</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由管理者代表</w:t>
            </w:r>
            <w:r>
              <w:rPr>
                <w:rFonts w:hint="eastAsia" w:asciiTheme="minorEastAsia" w:hAnsiTheme="minorEastAsia" w:eastAsiaTheme="minorEastAsia" w:cstheme="minorEastAsia"/>
                <w:color w:val="auto"/>
                <w:sz w:val="21"/>
                <w:szCs w:val="21"/>
                <w:lang w:eastAsia="zh-CN"/>
              </w:rPr>
              <w:t>张伟</w:t>
            </w:r>
            <w:r>
              <w:rPr>
                <w:rFonts w:hint="eastAsia" w:asciiTheme="minorEastAsia" w:hAnsiTheme="minorEastAsia" w:eastAsiaTheme="minorEastAsia" w:cstheme="minorEastAsia"/>
                <w:color w:val="auto"/>
                <w:sz w:val="21"/>
                <w:szCs w:val="21"/>
              </w:rPr>
              <w:t>定期组织内部审核，一般每年进行一次内部审核，时间间隔不超过12个月，抽查最近一次的内部审核情况</w:t>
            </w:r>
            <w:r>
              <w:rPr>
                <w:rFonts w:hint="eastAsia" w:asciiTheme="minorEastAsia" w:hAnsiTheme="minorEastAsia" w:eastAsiaTheme="minorEastAsia" w:cstheme="minorEastAsia"/>
                <w:color w:val="auto"/>
                <w:sz w:val="21"/>
                <w:szCs w:val="21"/>
                <w:lang w:eastAsia="zh-CN"/>
              </w:rPr>
              <w:t>：</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年度审核计划：提供《内部审核实施计划》，编制：</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lang w:eastAsia="zh-CN"/>
              </w:rPr>
              <w:t xml:space="preserve">    审核：</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lang w:eastAsia="zh-CN"/>
              </w:rPr>
              <w:t xml:space="preserve">     批准：</w:t>
            </w:r>
            <w:r>
              <w:rPr>
                <w:rFonts w:hint="eastAsia" w:asciiTheme="minorEastAsia" w:hAnsiTheme="minorEastAsia" w:eastAsiaTheme="minorEastAsia" w:cstheme="minorEastAsia"/>
                <w:color w:val="auto"/>
                <w:sz w:val="21"/>
                <w:szCs w:val="21"/>
                <w:lang w:val="en-US" w:eastAsia="zh-CN"/>
              </w:rPr>
              <w:t>丁荟荟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lang w:val="en-US" w:eastAsia="zh-CN"/>
              </w:rPr>
              <w:t>编制日期：</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0</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内部审核实施：组长：</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rPr>
              <w:t xml:space="preserve">，组员： </w:t>
            </w:r>
            <w:r>
              <w:rPr>
                <w:rFonts w:hint="eastAsia"/>
                <w:sz w:val="21"/>
                <w:szCs w:val="21"/>
                <w:lang w:val="en-US" w:eastAsia="zh-CN"/>
              </w:rPr>
              <w:t>高怀亮</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审核按计划进行，</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名内审员经内部培训合格，能力尚可。</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审核计划已考虑到互查的公正性，无审核员审核本部门的情况，计划内容涉及各部门，条款覆盖整个标准。</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提供了《内部审核检查表》，条款与策划一致，记录真实、完整。</w:t>
            </w:r>
            <w:r>
              <w:rPr>
                <w:rFonts w:hint="eastAsia" w:asciiTheme="minorEastAsia" w:hAnsiTheme="minorEastAsia" w:eastAsiaTheme="minorEastAsia" w:cstheme="minorEastAsia"/>
                <w:color w:val="auto"/>
                <w:kern w:val="0"/>
                <w:sz w:val="21"/>
                <w:szCs w:val="21"/>
              </w:rPr>
              <w:t>抽查内部审核检查表及审核记录，审核时间：</w:t>
            </w:r>
            <w:r>
              <w:rPr>
                <w:rFonts w:hint="eastAsia"/>
                <w:color w:val="auto"/>
                <w:sz w:val="21"/>
                <w:szCs w:val="21"/>
              </w:rPr>
              <w:t>20</w:t>
            </w:r>
            <w:r>
              <w:rPr>
                <w:rFonts w:hint="eastAsia"/>
                <w:color w:val="auto"/>
                <w:sz w:val="21"/>
                <w:szCs w:val="21"/>
                <w:lang w:val="en-US" w:eastAsia="zh-CN"/>
              </w:rPr>
              <w:t>20</w:t>
            </w:r>
            <w:r>
              <w:rPr>
                <w:rFonts w:hint="eastAsia"/>
                <w:color w:val="auto"/>
                <w:sz w:val="21"/>
                <w:szCs w:val="21"/>
              </w:rPr>
              <w:t>年</w:t>
            </w:r>
            <w:r>
              <w:rPr>
                <w:rFonts w:hint="eastAsia"/>
                <w:color w:val="auto"/>
                <w:sz w:val="21"/>
                <w:szCs w:val="21"/>
                <w:lang w:val="en-US" w:eastAsia="zh-CN"/>
              </w:rPr>
              <w:t>1</w:t>
            </w:r>
            <w:r>
              <w:rPr>
                <w:rFonts w:hint="eastAsia"/>
                <w:color w:val="auto"/>
                <w:sz w:val="21"/>
                <w:szCs w:val="21"/>
              </w:rPr>
              <w:t>月</w:t>
            </w:r>
            <w:r>
              <w:rPr>
                <w:rFonts w:hint="eastAsia"/>
                <w:color w:val="auto"/>
                <w:sz w:val="21"/>
                <w:szCs w:val="21"/>
                <w:lang w:val="en-US" w:eastAsia="zh-CN"/>
              </w:rPr>
              <w:t>18</w:t>
            </w:r>
            <w:r>
              <w:rPr>
                <w:rFonts w:hint="eastAsia"/>
                <w:color w:val="auto"/>
                <w:sz w:val="21"/>
                <w:szCs w:val="21"/>
              </w:rPr>
              <w:t>日</w:t>
            </w:r>
            <w:r>
              <w:rPr>
                <w:rFonts w:hint="eastAsia" w:asciiTheme="minorEastAsia" w:hAnsiTheme="minorEastAsia" w:eastAsiaTheme="minorEastAsia" w:cstheme="minorEastAsia"/>
                <w:color w:val="auto"/>
                <w:kern w:val="0"/>
                <w:sz w:val="21"/>
                <w:szCs w:val="21"/>
              </w:rPr>
              <w:t>；内部审核检查表的编制及抽样；基本符合规定的要求，审核记录抽取样本，记录的填写基本齐全，内容均基本符合标准要求。</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本次内审发现</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个一般不符合项，分布在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lang w:val="en-US" w:eastAsia="zh-CN"/>
              </w:rPr>
              <w:t>7.2</w:t>
            </w:r>
            <w:r>
              <w:rPr>
                <w:rFonts w:hint="eastAsia" w:asciiTheme="minorEastAsia" w:hAnsiTheme="minorEastAsia" w:eastAsiaTheme="minorEastAsia" w:cstheme="minorEastAsia"/>
                <w:color w:val="auto"/>
                <w:sz w:val="21"/>
                <w:szCs w:val="21"/>
              </w:rPr>
              <w:t>条款,针对这</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个不合格，责任部门已分析了原因并采取了纠正措施，按要求进行了整改，最后内审员进行了验证，纠正措施实施有效。</w:t>
            </w:r>
          </w:p>
          <w:p>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内部审核结论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并</w:t>
            </w:r>
            <w:r>
              <w:rPr>
                <w:rFonts w:hint="eastAsia" w:asciiTheme="minorEastAsia" w:hAnsiTheme="minorEastAsia" w:eastAsiaTheme="minorEastAsia" w:cstheme="minorEastAsia"/>
                <w:color w:val="auto"/>
                <w:sz w:val="21"/>
                <w:szCs w:val="21"/>
              </w:rPr>
              <w:t>提供了《内部审核报告》</w:t>
            </w:r>
            <w:r>
              <w:rPr>
                <w:rFonts w:hint="eastAsia" w:asciiTheme="minorEastAsia" w:hAnsiTheme="minorEastAsia" w:eastAsiaTheme="minorEastAsia" w:cstheme="minorEastAsia"/>
                <w:color w:val="auto"/>
                <w:sz w:val="21"/>
                <w:szCs w:val="21"/>
                <w:lang w:eastAsia="zh-CN"/>
              </w:rPr>
              <w:t>。</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rPr>
              <w:t>公司内部审核基本有效。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ind w:firstLine="420" w:firstLineChars="200"/>
              <w:rPr>
                <w:rFonts w:ascii="宋体" w:hAnsi="宋体" w:cs="宋体"/>
                <w:color w:val="auto"/>
                <w:szCs w:val="21"/>
              </w:rPr>
            </w:pPr>
            <w:r>
              <w:rPr>
                <w:rFonts w:hint="eastAsia" w:ascii="宋体" w:hAnsi="宋体" w:cs="宋体"/>
                <w:color w:val="auto"/>
                <w:szCs w:val="21"/>
                <w:lang w:val="en-US" w:eastAsia="zh-CN"/>
              </w:rPr>
              <w:t>该公司制定了XL /QES02-2019-22《管理评审控制程序》，</w:t>
            </w:r>
            <w:r>
              <w:rPr>
                <w:rFonts w:hint="eastAsia" w:ascii="宋体" w:hAnsi="宋体" w:cs="宋体"/>
                <w:color w:val="auto"/>
                <w:szCs w:val="21"/>
              </w:rPr>
              <w:t>提供：</w:t>
            </w:r>
          </w:p>
          <w:p>
            <w:pPr>
              <w:spacing w:line="280" w:lineRule="exact"/>
              <w:rPr>
                <w:rFonts w:ascii="宋体" w:hAnsi="宋体" w:cs="宋体"/>
                <w:color w:val="auto"/>
                <w:szCs w:val="21"/>
              </w:rPr>
            </w:pPr>
            <w:r>
              <w:rPr>
                <w:rFonts w:hint="eastAsia" w:ascii="宋体" w:hAnsi="宋体" w:cs="宋体"/>
                <w:color w:val="auto"/>
                <w:szCs w:val="21"/>
              </w:rPr>
              <w:t>1.管理评审计划，</w:t>
            </w:r>
          </w:p>
          <w:p>
            <w:pPr>
              <w:spacing w:line="280" w:lineRule="exact"/>
              <w:rPr>
                <w:rFonts w:hint="eastAsia" w:ascii="宋体" w:hAnsi="宋体" w:cs="宋体"/>
                <w:color w:val="auto"/>
                <w:szCs w:val="21"/>
                <w:lang w:val="en-US" w:eastAsia="zh-CN"/>
              </w:rPr>
            </w:pPr>
            <w:r>
              <w:rPr>
                <w:rFonts w:hint="eastAsia" w:ascii="宋体" w:hAnsi="宋体" w:cs="宋体"/>
                <w:color w:val="auto"/>
                <w:szCs w:val="21"/>
              </w:rPr>
              <w:t>评审时间：计划</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 xml:space="preserve">日 </w:t>
            </w:r>
            <w:r>
              <w:rPr>
                <w:rFonts w:hint="eastAsia" w:ascii="宋体" w:hAnsi="宋体" w:cs="宋体"/>
                <w:color w:val="auto"/>
                <w:szCs w:val="21"/>
              </w:rPr>
              <w:t>进行，初审无间隔要求， 评审方式：会议评审，编制：</w:t>
            </w:r>
            <w:r>
              <w:rPr>
                <w:rFonts w:hint="eastAsia" w:ascii="宋体" w:hAnsi="宋体" w:cs="宋体"/>
                <w:color w:val="auto"/>
                <w:szCs w:val="21"/>
                <w:lang w:val="en-US" w:eastAsia="zh-CN"/>
              </w:rPr>
              <w:t>张伟</w:t>
            </w:r>
            <w:r>
              <w:rPr>
                <w:rFonts w:hint="eastAsia" w:ascii="宋体" w:hAnsi="宋体" w:cs="宋体"/>
                <w:color w:val="auto"/>
                <w:szCs w:val="21"/>
              </w:rPr>
              <w:t>，批准：</w:t>
            </w:r>
            <w:r>
              <w:rPr>
                <w:rFonts w:hint="eastAsia" w:ascii="宋体" w:hAnsi="宋体" w:cs="宋体"/>
                <w:color w:val="auto"/>
                <w:szCs w:val="21"/>
                <w:lang w:val="en-US" w:eastAsia="zh-CN"/>
              </w:rPr>
              <w:t>丁荟荟</w:t>
            </w:r>
          </w:p>
          <w:p>
            <w:pPr>
              <w:spacing w:line="280" w:lineRule="exact"/>
              <w:rPr>
                <w:rFonts w:ascii="宋体" w:hAnsi="宋体" w:cs="宋体"/>
                <w:color w:val="auto"/>
                <w:szCs w:val="21"/>
              </w:rPr>
            </w:pPr>
            <w:r>
              <w:rPr>
                <w:rFonts w:hint="eastAsia" w:ascii="宋体" w:hAnsi="宋体" w:cs="宋体"/>
                <w:color w:val="auto"/>
                <w:szCs w:val="21"/>
              </w:rPr>
              <w:t>参加人员包括公司总经理、管理者代表、</w:t>
            </w:r>
            <w:r>
              <w:rPr>
                <w:rFonts w:hint="eastAsia" w:ascii="宋体" w:hAnsi="宋体" w:cs="宋体"/>
                <w:color w:val="auto"/>
                <w:szCs w:val="21"/>
                <w:lang w:val="en-US" w:eastAsia="zh-CN"/>
              </w:rPr>
              <w:t>员工代表和</w:t>
            </w:r>
            <w:r>
              <w:rPr>
                <w:rFonts w:hint="eastAsia" w:ascii="宋体" w:hAnsi="宋体" w:cs="宋体"/>
                <w:color w:val="auto"/>
                <w:szCs w:val="21"/>
              </w:rPr>
              <w:t>各部门负责人，</w:t>
            </w:r>
          </w:p>
          <w:p>
            <w:pPr>
              <w:spacing w:line="280" w:lineRule="exact"/>
              <w:rPr>
                <w:rFonts w:ascii="宋体" w:hAnsi="宋体" w:cs="宋体"/>
                <w:color w:val="auto"/>
                <w:szCs w:val="21"/>
              </w:rPr>
            </w:pPr>
            <w:r>
              <w:rPr>
                <w:rFonts w:hint="eastAsia" w:ascii="宋体" w:hAnsi="宋体" w:cs="宋体"/>
                <w:color w:val="auto"/>
                <w:szCs w:val="21"/>
              </w:rPr>
              <w:t>计划中明确了评审内容和资料准备要求。</w:t>
            </w:r>
          </w:p>
          <w:p>
            <w:pPr>
              <w:spacing w:line="280" w:lineRule="exact"/>
              <w:rPr>
                <w:rFonts w:ascii="宋体" w:hAnsi="宋体" w:cs="宋体"/>
                <w:color w:val="auto"/>
                <w:szCs w:val="21"/>
              </w:rPr>
            </w:pPr>
            <w:r>
              <w:rPr>
                <w:rFonts w:hint="eastAsia" w:ascii="宋体" w:hAnsi="宋体" w:cs="宋体"/>
                <w:color w:val="auto"/>
                <w:szCs w:val="21"/>
              </w:rPr>
              <w:t>2.管理评审会议记录，</w:t>
            </w:r>
          </w:p>
          <w:p>
            <w:pPr>
              <w:spacing w:line="280" w:lineRule="exact"/>
              <w:rPr>
                <w:rFonts w:hint="eastAsia" w:ascii="宋体" w:hAnsi="宋体" w:eastAsia="宋体" w:cs="宋体"/>
                <w:color w:val="auto"/>
                <w:szCs w:val="21"/>
                <w:lang w:eastAsia="zh-CN"/>
              </w:rPr>
            </w:pPr>
            <w:r>
              <w:rPr>
                <w:rFonts w:hint="eastAsia" w:ascii="宋体" w:hAnsi="宋体" w:cs="宋体"/>
                <w:color w:val="auto"/>
                <w:szCs w:val="21"/>
              </w:rPr>
              <w:t>按计划的时间</w:t>
            </w:r>
            <w:r>
              <w:rPr>
                <w:rFonts w:hint="eastAsia" w:ascii="宋体" w:hAnsi="宋体" w:cs="宋体"/>
                <w:color w:val="auto"/>
                <w:szCs w:val="21"/>
                <w:lang w:eastAsia="zh-CN"/>
              </w:rPr>
              <w:t>，</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s="宋体"/>
                <w:color w:val="auto"/>
                <w:szCs w:val="21"/>
              </w:rPr>
              <w:t>实施了管理评审。</w:t>
            </w:r>
            <w:r>
              <w:rPr>
                <w:rFonts w:hint="eastAsia" w:ascii="宋体" w:hAnsi="宋体" w:cs="宋体"/>
                <w:color w:val="auto"/>
                <w:szCs w:val="21"/>
                <w:lang w:val="en-US" w:eastAsia="zh-CN"/>
              </w:rPr>
              <w:t>见</w:t>
            </w:r>
            <w:r>
              <w:rPr>
                <w:rFonts w:hint="eastAsia" w:ascii="宋体" w:hAnsi="宋体" w:cs="宋体"/>
                <w:color w:val="auto"/>
                <w:szCs w:val="21"/>
              </w:rPr>
              <w:t>管理评审输入</w:t>
            </w:r>
            <w:r>
              <w:rPr>
                <w:rFonts w:hint="eastAsia" w:ascii="宋体" w:hAnsi="宋体" w:cs="宋体"/>
                <w:color w:val="auto"/>
                <w:szCs w:val="21"/>
                <w:lang w:eastAsia="zh-CN"/>
              </w:rPr>
              <w:t>，</w:t>
            </w:r>
          </w:p>
          <w:p>
            <w:pPr>
              <w:spacing w:line="280" w:lineRule="exact"/>
              <w:rPr>
                <w:rFonts w:ascii="宋体" w:hAnsi="宋体" w:cs="宋体"/>
                <w:color w:val="auto"/>
                <w:szCs w:val="21"/>
              </w:rPr>
            </w:pPr>
            <w:r>
              <w:rPr>
                <w:rFonts w:hint="eastAsia" w:ascii="宋体" w:hAnsi="宋体" w:cs="宋体"/>
                <w:color w:val="auto"/>
                <w:szCs w:val="21"/>
              </w:rPr>
              <w:t>3.管理评审报告，</w:t>
            </w:r>
          </w:p>
          <w:p>
            <w:pPr>
              <w:spacing w:line="280" w:lineRule="exact"/>
              <w:rPr>
                <w:rFonts w:hint="eastAsia" w:ascii="宋体" w:hAnsi="宋体" w:cs="宋体"/>
                <w:color w:val="auto"/>
                <w:szCs w:val="21"/>
              </w:rPr>
            </w:pPr>
            <w:r>
              <w:rPr>
                <w:rFonts w:hint="eastAsia" w:ascii="宋体" w:hAnsi="宋体" w:cs="宋体"/>
                <w:color w:val="auto"/>
                <w:szCs w:val="21"/>
              </w:rPr>
              <w:t>管理评审结论：通过本次评审，最终得出本公司管理体系是适宜的、充分的、有效的，方针和目标是适宜的和有效的。</w:t>
            </w:r>
          </w:p>
          <w:p>
            <w:pPr>
              <w:spacing w:line="280" w:lineRule="exact"/>
              <w:rPr>
                <w:rFonts w:ascii="宋体" w:hAnsi="宋体" w:cs="宋体"/>
                <w:color w:val="auto"/>
                <w:szCs w:val="21"/>
              </w:rPr>
            </w:pPr>
            <w:r>
              <w:rPr>
                <w:rFonts w:hint="eastAsia" w:ascii="宋体" w:hAnsi="宋体" w:cs="宋体"/>
                <w:color w:val="auto"/>
                <w:szCs w:val="21"/>
              </w:rPr>
              <w:t>4.改进计划，</w:t>
            </w:r>
          </w:p>
          <w:p>
            <w:pPr>
              <w:spacing w:line="240" w:lineRule="exact"/>
              <w:rPr>
                <w:b/>
                <w:color w:val="000000" w:themeColor="text1"/>
                <w:sz w:val="20"/>
                <w:szCs w:val="20"/>
              </w:rPr>
            </w:pPr>
            <w:r>
              <w:rPr>
                <w:color w:val="auto"/>
              </w:rPr>
              <w:t>但为了更好的运行体系，提出</w:t>
            </w:r>
            <w:r>
              <w:rPr>
                <w:rFonts w:hint="eastAsia"/>
                <w:color w:val="auto"/>
                <w:lang w:val="en-US" w:eastAsia="zh-CN"/>
              </w:rPr>
              <w:t>3点</w:t>
            </w:r>
            <w:r>
              <w:rPr>
                <w:color w:val="auto"/>
              </w:rPr>
              <w:t>要求</w:t>
            </w:r>
            <w:r>
              <w:rPr>
                <w:rFonts w:hint="eastAsia"/>
                <w:color w:val="auto"/>
                <w:lang w:eastAsia="zh-CN"/>
              </w:rPr>
              <w:t>，</w:t>
            </w:r>
            <w:r>
              <w:rPr>
                <w:rFonts w:hint="eastAsia"/>
                <w:color w:val="auto"/>
                <w:lang w:val="en-US" w:eastAsia="zh-CN"/>
              </w:rPr>
              <w:t>目前正在实施中。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ind w:firstLine="630" w:firstLineChars="300"/>
              <w:rPr>
                <w:b/>
                <w:color w:val="000000" w:themeColor="text1"/>
                <w:sz w:val="20"/>
                <w:szCs w:val="20"/>
              </w:rPr>
            </w:pPr>
            <w:r>
              <w:rPr>
                <w:rFonts w:hint="eastAsia"/>
                <w:lang w:val="en-US" w:eastAsia="zh-CN"/>
              </w:rPr>
              <w:t>是 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6"/>
              </w:numPr>
              <w:spacing w:line="240" w:lineRule="exact"/>
              <w:rPr>
                <w:rFonts w:hint="eastAsia"/>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 xml:space="preserve"> 暂无 </w:t>
            </w:r>
          </w:p>
          <w:p>
            <w:pPr>
              <w:widowControl/>
              <w:numPr>
                <w:ilvl w:val="0"/>
                <w:numId w:val="0"/>
              </w:numPr>
              <w:spacing w:line="240" w:lineRule="exact"/>
              <w:ind w:left="0" w:leftChars="0"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rFonts w:hint="eastAsia"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spacing w:line="240" w:lineRule="exact"/>
              <w:rPr>
                <w:b/>
                <w:color w:val="000000" w:themeColor="text1"/>
                <w:sz w:val="20"/>
                <w:szCs w:val="20"/>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ind w:firstLine="400" w:firstLineChars="200"/>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 xml:space="preserve">  </w:t>
            </w:r>
            <w:r>
              <w:rPr>
                <w:rFonts w:hint="eastAsia" w:ascii="Times New Roman" w:hAnsi="Times New Roman" w:eastAsia="宋体" w:cs="Times New Roman"/>
                <w:b w:val="0"/>
                <w:bCs/>
                <w:color w:val="000000" w:themeColor="text1"/>
                <w:sz w:val="20"/>
                <w:szCs w:val="20"/>
                <w:lang w:val="en-US"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 xml:space="preserve">  </w:t>
            </w:r>
            <w:r>
              <w:rPr>
                <w:rFonts w:hint="eastAsia" w:ascii="Times New Roman" w:hAnsi="Times New Roman" w:eastAsia="宋体" w:cs="Times New Roman"/>
                <w:b w:val="0"/>
                <w:bCs/>
                <w:color w:val="000000" w:themeColor="text1"/>
                <w:sz w:val="20"/>
                <w:szCs w:val="20"/>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pStyle w:val="2"/>
              <w:ind w:firstLine="460" w:firstLineChars="200"/>
            </w:pPr>
            <w:r>
              <w:rPr>
                <w:rFonts w:hint="eastAsia"/>
              </w:rPr>
              <w:t>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eastAsia="zh-CN"/>
              </w:rPr>
              <w:t>远程</w:t>
            </w:r>
            <w:r>
              <w:rPr>
                <w:rFonts w:hint="eastAsia"/>
              </w:rPr>
              <w:t>开具的不符合项在规定的期限内采取纠正措施并经审核组书面验证有效后，同意推荐认证注册。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23956992" behindDoc="0" locked="0" layoutInCell="1" allowOverlap="1">
            <wp:simplePos x="0" y="0"/>
            <wp:positionH relativeFrom="column">
              <wp:posOffset>1572260</wp:posOffset>
            </wp:positionH>
            <wp:positionV relativeFrom="paragraph">
              <wp:posOffset>339725</wp:posOffset>
            </wp:positionV>
            <wp:extent cx="733425" cy="3619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5408" behindDoc="0" locked="0" layoutInCell="1" allowOverlap="1">
            <wp:simplePos x="0" y="0"/>
            <wp:positionH relativeFrom="column">
              <wp:posOffset>2404110</wp:posOffset>
            </wp:positionH>
            <wp:positionV relativeFrom="paragraph">
              <wp:posOffset>175260</wp:posOffset>
            </wp:positionV>
            <wp:extent cx="823595" cy="334645"/>
            <wp:effectExtent l="0" t="0" r="14605" b="8255"/>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lum contrast="84000"/>
                    </a:blip>
                    <a:stretch>
                      <a:fillRect/>
                    </a:stretch>
                  </pic:blipFill>
                  <pic:spPr>
                    <a:xfrm>
                      <a:off x="0" y="0"/>
                      <a:ext cx="823595" cy="33464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1586230</wp:posOffset>
            </wp:positionH>
            <wp:positionV relativeFrom="paragraph">
              <wp:posOffset>116840</wp:posOffset>
            </wp:positionV>
            <wp:extent cx="707390" cy="316865"/>
            <wp:effectExtent l="0" t="0" r="1651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lum contrast="72000"/>
                    </a:blip>
                    <a:stretch>
                      <a:fillRect/>
                    </a:stretch>
                  </pic:blipFill>
                  <pic:spPr>
                    <a:xfrm>
                      <a:off x="0" y="0"/>
                      <a:ext cx="707390" cy="31686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rFonts w:hint="default"/>
          <w:b/>
          <w:color w:val="000000" w:themeColor="text1"/>
          <w:sz w:val="16"/>
          <w:szCs w:val="16"/>
          <w:lang w:val="en-US"/>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2020年4月10日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tabs>
          <w:tab w:val="left" w:pos="1837"/>
        </w:tabs>
        <w:spacing w:after="156" w:afterLines="50"/>
        <w:ind w:firstLine="422" w:firstLineChars="200"/>
        <w:rPr>
          <w:rFonts w:hint="eastAsia" w:eastAsia="宋体"/>
          <w:b/>
          <w:color w:val="000000" w:themeColor="text1"/>
          <w:szCs w:val="21"/>
          <w:lang w:eastAsia="zh-CN"/>
        </w:rPr>
      </w:pPr>
      <w:r>
        <w:rPr>
          <w:rFonts w:hint="eastAsia"/>
          <w:b/>
          <w:color w:val="000000" w:themeColor="text1"/>
          <w:szCs w:val="21"/>
          <w:lang w:eastAsia="zh-CN"/>
        </w:rPr>
        <w:tab/>
      </w:r>
      <w:bookmarkStart w:id="21" w:name="_GoBack"/>
      <w:bookmarkEnd w:id="21"/>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23953920" behindDoc="0" locked="0" layoutInCell="1" allowOverlap="1">
            <wp:simplePos x="0" y="0"/>
            <wp:positionH relativeFrom="column">
              <wp:posOffset>810260</wp:posOffset>
            </wp:positionH>
            <wp:positionV relativeFrom="paragraph">
              <wp:posOffset>105410</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2020年4月14日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70288"/>
    <w:multiLevelType w:val="singleLevel"/>
    <w:tmpl w:val="BAA70288"/>
    <w:lvl w:ilvl="0" w:tentative="0">
      <w:start w:val="9"/>
      <w:numFmt w:val="decimal"/>
      <w:suff w:val="space"/>
      <w:lvlText w:val="%1."/>
      <w:lvlJc w:val="left"/>
    </w:lvl>
  </w:abstractNum>
  <w:abstractNum w:abstractNumId="1">
    <w:nsid w:val="C706DD17"/>
    <w:multiLevelType w:val="singleLevel"/>
    <w:tmpl w:val="C706DD17"/>
    <w:lvl w:ilvl="0" w:tentative="0">
      <w:start w:val="8"/>
      <w:numFmt w:val="decimal"/>
      <w:suff w:val="space"/>
      <w:lvlText w:val="%1."/>
      <w:lvlJc w:val="left"/>
    </w:lvl>
  </w:abstractNum>
  <w:abstractNum w:abstractNumId="2">
    <w:nsid w:val="F052DCBF"/>
    <w:multiLevelType w:val="singleLevel"/>
    <w:tmpl w:val="F052DCBF"/>
    <w:lvl w:ilvl="0" w:tentative="0">
      <w:start w:val="2"/>
      <w:numFmt w:val="decimal"/>
      <w:suff w:val="nothing"/>
      <w:lvlText w:val="%1、"/>
      <w:lvlJc w:val="left"/>
    </w:lvl>
  </w:abstractNum>
  <w:abstractNum w:abstractNumId="3">
    <w:nsid w:val="171C1F28"/>
    <w:multiLevelType w:val="singleLevel"/>
    <w:tmpl w:val="171C1F28"/>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249C7"/>
    <w:rsid w:val="041A2F5C"/>
    <w:rsid w:val="07962BFF"/>
    <w:rsid w:val="08A43E96"/>
    <w:rsid w:val="08B337E1"/>
    <w:rsid w:val="094D4A96"/>
    <w:rsid w:val="0B601F5F"/>
    <w:rsid w:val="0BA122C7"/>
    <w:rsid w:val="0BD4088D"/>
    <w:rsid w:val="0BD77CFD"/>
    <w:rsid w:val="0DA47F77"/>
    <w:rsid w:val="0E720E0D"/>
    <w:rsid w:val="12CA7C9E"/>
    <w:rsid w:val="142B3BD1"/>
    <w:rsid w:val="14E40789"/>
    <w:rsid w:val="15107062"/>
    <w:rsid w:val="15367717"/>
    <w:rsid w:val="15474659"/>
    <w:rsid w:val="166111E7"/>
    <w:rsid w:val="16A34AFA"/>
    <w:rsid w:val="174C3790"/>
    <w:rsid w:val="17B70DA6"/>
    <w:rsid w:val="18393A6A"/>
    <w:rsid w:val="1A043E3E"/>
    <w:rsid w:val="1BD0083B"/>
    <w:rsid w:val="1C554A94"/>
    <w:rsid w:val="1C676328"/>
    <w:rsid w:val="1C8637EF"/>
    <w:rsid w:val="2037641F"/>
    <w:rsid w:val="2057372A"/>
    <w:rsid w:val="20EF5DEA"/>
    <w:rsid w:val="23384B29"/>
    <w:rsid w:val="262520CA"/>
    <w:rsid w:val="267F7501"/>
    <w:rsid w:val="26DC505E"/>
    <w:rsid w:val="26E36944"/>
    <w:rsid w:val="273D0773"/>
    <w:rsid w:val="276733DE"/>
    <w:rsid w:val="27E3076F"/>
    <w:rsid w:val="28182A32"/>
    <w:rsid w:val="2ABF7751"/>
    <w:rsid w:val="2ACF4408"/>
    <w:rsid w:val="2C2A552D"/>
    <w:rsid w:val="2F02039A"/>
    <w:rsid w:val="2F6549CF"/>
    <w:rsid w:val="308B5AE3"/>
    <w:rsid w:val="34FE3EA5"/>
    <w:rsid w:val="3654657C"/>
    <w:rsid w:val="37115D4E"/>
    <w:rsid w:val="3752419D"/>
    <w:rsid w:val="38D31630"/>
    <w:rsid w:val="38E80EC2"/>
    <w:rsid w:val="399E79F8"/>
    <w:rsid w:val="3A322230"/>
    <w:rsid w:val="3AE2758A"/>
    <w:rsid w:val="3B024412"/>
    <w:rsid w:val="3B132B23"/>
    <w:rsid w:val="3B6C54A4"/>
    <w:rsid w:val="3BBA2593"/>
    <w:rsid w:val="3D6E5332"/>
    <w:rsid w:val="3F033F6B"/>
    <w:rsid w:val="3FEA2ACA"/>
    <w:rsid w:val="428E4184"/>
    <w:rsid w:val="43C96558"/>
    <w:rsid w:val="44576A08"/>
    <w:rsid w:val="46F46760"/>
    <w:rsid w:val="47F84B86"/>
    <w:rsid w:val="48344655"/>
    <w:rsid w:val="487D0ECD"/>
    <w:rsid w:val="4ACF32E8"/>
    <w:rsid w:val="4BDE6D94"/>
    <w:rsid w:val="4DD665CE"/>
    <w:rsid w:val="4DF40D4B"/>
    <w:rsid w:val="4F405773"/>
    <w:rsid w:val="4FE25560"/>
    <w:rsid w:val="502D7437"/>
    <w:rsid w:val="50752911"/>
    <w:rsid w:val="51DC747E"/>
    <w:rsid w:val="53D1377A"/>
    <w:rsid w:val="54885FDD"/>
    <w:rsid w:val="54AB69A6"/>
    <w:rsid w:val="550D7112"/>
    <w:rsid w:val="553C4782"/>
    <w:rsid w:val="562A742E"/>
    <w:rsid w:val="565349BE"/>
    <w:rsid w:val="56844E51"/>
    <w:rsid w:val="56E001B6"/>
    <w:rsid w:val="574B7D7C"/>
    <w:rsid w:val="57D6493A"/>
    <w:rsid w:val="58BE6E43"/>
    <w:rsid w:val="591C4397"/>
    <w:rsid w:val="59786A20"/>
    <w:rsid w:val="597C66E9"/>
    <w:rsid w:val="59EF5915"/>
    <w:rsid w:val="5BE55286"/>
    <w:rsid w:val="5BF54C68"/>
    <w:rsid w:val="5DC82D54"/>
    <w:rsid w:val="5E982A09"/>
    <w:rsid w:val="5F8A595A"/>
    <w:rsid w:val="5FE53B65"/>
    <w:rsid w:val="60272174"/>
    <w:rsid w:val="61680DFD"/>
    <w:rsid w:val="62C23E49"/>
    <w:rsid w:val="63164C3E"/>
    <w:rsid w:val="635626E1"/>
    <w:rsid w:val="63877FE6"/>
    <w:rsid w:val="64C87316"/>
    <w:rsid w:val="654B208B"/>
    <w:rsid w:val="658B29E5"/>
    <w:rsid w:val="6619318C"/>
    <w:rsid w:val="683023CA"/>
    <w:rsid w:val="687104B6"/>
    <w:rsid w:val="69D56A95"/>
    <w:rsid w:val="6A646140"/>
    <w:rsid w:val="6C117BCA"/>
    <w:rsid w:val="6F391320"/>
    <w:rsid w:val="7186349D"/>
    <w:rsid w:val="73F65036"/>
    <w:rsid w:val="754A364E"/>
    <w:rsid w:val="75617CB3"/>
    <w:rsid w:val="767A73F7"/>
    <w:rsid w:val="7EF60A35"/>
    <w:rsid w:val="7F8B3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2020-04-14T09:04:01Z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