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</w:t>
      </w:r>
      <w:bookmarkStart w:id="0" w:name="_GoBack"/>
      <w:bookmarkEnd w:id="0"/>
      <w:r>
        <w:rPr>
          <w:rFonts w:hint="eastAsia" w:ascii="隶书" w:hAnsi="宋体" w:eastAsia="隶书"/>
          <w:bCs/>
          <w:color w:val="000000"/>
          <w:sz w:val="36"/>
          <w:szCs w:val="36"/>
        </w:rPr>
        <w:t>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69"/>
        <w:gridCol w:w="1094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6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抽样计划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</w:t>
            </w:r>
          </w:p>
        </w:tc>
        <w:tc>
          <w:tcPr>
            <w:tcW w:w="1094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供销部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张青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陪同人员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张伟  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5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7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王志慧、岳树亮            </w:t>
            </w:r>
            <w:r>
              <w:rPr>
                <w:rFonts w:hint="eastAsia"/>
                <w:sz w:val="21"/>
                <w:szCs w:val="21"/>
              </w:rPr>
              <w:t>审核时间：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2020年4月8日</w:t>
            </w:r>
          </w:p>
        </w:tc>
        <w:tc>
          <w:tcPr>
            <w:tcW w:w="837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5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7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</w:t>
            </w:r>
            <w:r>
              <w:rPr>
                <w:rFonts w:hint="eastAsia" w:ascii="宋体" w:hAnsi="宋体" w:cs="宋体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/6.2/8.1/8.2</w:t>
            </w:r>
          </w:p>
        </w:tc>
        <w:tc>
          <w:tcPr>
            <w:tcW w:w="837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6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组织的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角色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职责和权限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5.3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47" w:type="dxa"/>
            <w:vAlign w:val="top"/>
          </w:tcPr>
          <w:p>
            <w:pPr>
              <w:spacing w:line="280" w:lineRule="exact"/>
              <w:ind w:firstLine="42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本部门主要负责采购、销售的及相关职业健康安全管理活动的实施与执行</w:t>
            </w:r>
          </w:p>
          <w:p>
            <w:pPr>
              <w:spacing w:line="280" w:lineRule="exact"/>
              <w:ind w:firstLine="42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负责市场开发，组织投标、合同谈判、合同管理及相关台帐管理、归档；负责顾客满意度的测量工作；</w:t>
            </w:r>
          </w:p>
          <w:p>
            <w:pPr>
              <w:spacing w:line="280" w:lineRule="exact"/>
              <w:ind w:firstLine="42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•  归口管理与顾客有关的过程，包括确定和评审与产品有关的要求，实施与顾客的有效沟通，按顾客要求协调采购计划。</w:t>
            </w:r>
          </w:p>
          <w:p>
            <w:pPr>
              <w:spacing w:line="280" w:lineRule="exact"/>
              <w:ind w:firstLine="42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•  负责物资采购工作。负责制定和实施采购计划。</w:t>
            </w:r>
          </w:p>
          <w:p>
            <w:pPr>
              <w:spacing w:line="280" w:lineRule="exact"/>
              <w:ind w:firstLine="42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•  负责供应商评价、管理工作。</w:t>
            </w:r>
          </w:p>
          <w:p>
            <w:pPr>
              <w:spacing w:line="280" w:lineRule="exact"/>
              <w:ind w:firstLine="42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•  负责本部门环境因素和危险源的识别和评价，进行必要的更新；</w:t>
            </w: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656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工作人员得协商和参与</w:t>
            </w:r>
          </w:p>
        </w:tc>
        <w:tc>
          <w:tcPr>
            <w:tcW w:w="1269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O 5.4</w:t>
            </w:r>
          </w:p>
        </w:tc>
        <w:tc>
          <w:tcPr>
            <w:tcW w:w="10947" w:type="dxa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公司选出安全事务代表：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李成斌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，安全事务代表参与公司内审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管理评审和相关员工安全利益的会议。公司对员工进行安全教育培训，查《培训计划及档案》：</w:t>
            </w:r>
            <w:r>
              <w:rPr>
                <w:rFonts w:hint="eastAsia"/>
                <w:sz w:val="21"/>
                <w:szCs w:val="21"/>
                <w:lang w:eastAsia="zh-CN"/>
              </w:rPr>
              <w:t>2019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10职业健康安全管理管理体系标准及程序文件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2019-12公司安全生产管理制度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2020-1公司职业健康安全管理制度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2020-3职业病防治规定等教育培训。让员工及时获取涉及个人人身安全的知识。企业的安全教育知识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在组织内得到沟通、理解和应用，通过：展板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标语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会议 文件发放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在相关方有需要时提供。通过：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网站 宣传册 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管理手册中描述强调与非管理类工作人员在如下方面的协商：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1）确定相关方的需求和期望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2）建立职业健康安全方针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3）适用时，分配组织的角色、职责和权限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4）确定如何满足法律法规要求和其他要求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5）制定职业健康安全目标并为其实现进行策划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6）确定对外包、采购和承包方的适用控制 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7）确定所需监视、测量和评价的内容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8）策划、建立、实施和保持审核方案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9）确保持续改进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e）强调非管理类工作人员在如下方面的参与：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1）确定其协商和参与的机制；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2）辨识危险源并评价风险和机遇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3）确定消除危险源和降低职业健康安全风险的措施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4）确定能力要求、培训需求、培训和培训效果评价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5）确定沟通的内容和方式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6）确定控制措施及其有效的实施和应用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7）调查事件和不符合并确定纠正措施</w:t>
            </w:r>
          </w:p>
          <w:p>
            <w:pPr>
              <w:pStyle w:val="17"/>
              <w:ind w:firstLine="42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总经理确保</w:t>
            </w:r>
            <w:r>
              <w:rPr>
                <w:rFonts w:hint="eastAsia"/>
                <w:sz w:val="21"/>
                <w:szCs w:val="21"/>
              </w:rPr>
              <w:t>工作人员在提建议时无惧遭受解雇、纪律处分或其他类似报复的威胁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656" w:type="dxa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应对风险和机遇的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措施（总则）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.1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47" w:type="dxa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在策划管理体系时考虑了风险和机遇以及相应的应对措施，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企业编辑了《风险和机遇的应对措施控制程序》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、手册第6.1条款，</w:t>
            </w:r>
            <w:r>
              <w:rPr>
                <w:rFonts w:hint="eastAsia" w:ascii="宋体" w:hAnsi="宋体" w:cs="宋体"/>
                <w:sz w:val="21"/>
                <w:szCs w:val="21"/>
              </w:rPr>
              <w:t>明确风险和机遇事件的识别方法/途径、风险和机遇事件的评估方式、制定主要风险和机遇事件的应对措施的要求、评价这些措施有效性的方法。将需要应对的风险和机遇进行风险分析确定风险级别（一般风险、高风险），在管理体系所确定的过程（客户开发、供应商的要求等）中，整合制定针对性管理措施（如程序控制等）。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1.外部因素主要有：a)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法规要求</w:t>
            </w:r>
            <w:r>
              <w:rPr>
                <w:rFonts w:hint="eastAsia" w:ascii="宋体" w:hAnsi="宋体" w:cs="宋体"/>
                <w:sz w:val="21"/>
                <w:szCs w:val="21"/>
              </w:rPr>
              <w:t>；b)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相关方要求（监管部门的监管力度，供应商的要求，客户的需求，第三方的要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求）</w:t>
            </w:r>
            <w:r>
              <w:rPr>
                <w:rFonts w:hint="eastAsia" w:ascii="宋体" w:hAnsi="宋体" w:cs="宋体"/>
                <w:sz w:val="21"/>
                <w:szCs w:val="21"/>
              </w:rPr>
              <w:t>；c)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新领域、新设备、新工艺；</w:t>
            </w:r>
            <w:r>
              <w:rPr>
                <w:rFonts w:hint="eastAsia" w:ascii="宋体" w:hAnsi="宋体" w:cs="宋体"/>
                <w:sz w:val="21"/>
                <w:szCs w:val="21"/>
              </w:rPr>
              <w:t>d)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市场占有率、市场领先趋势、顾客增长趋势</w:t>
            </w:r>
            <w:r>
              <w:rPr>
                <w:rFonts w:hint="eastAsia" w:ascii="宋体" w:hAnsi="宋体" w:cs="宋体"/>
                <w:sz w:val="21"/>
                <w:szCs w:val="21"/>
              </w:rPr>
              <w:t>等；</w:t>
            </w:r>
          </w:p>
          <w:p>
            <w:pPr>
              <w:spacing w:line="280" w:lineRule="exact"/>
              <w:ind w:left="420" w:leftChars="100" w:hanging="210" w:hangingChars="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2.内部因素包括：a)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管理流程</w:t>
            </w:r>
            <w:r>
              <w:rPr>
                <w:rFonts w:hint="eastAsia" w:ascii="宋体" w:hAnsi="宋体" w:cs="宋体"/>
                <w:sz w:val="21"/>
                <w:szCs w:val="21"/>
              </w:rPr>
              <w:t>；b)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销售服务能力</w:t>
            </w:r>
            <w:r>
              <w:rPr>
                <w:rFonts w:hint="eastAsia" w:ascii="宋体" w:hAnsi="宋体" w:cs="宋体"/>
                <w:sz w:val="21"/>
                <w:szCs w:val="21"/>
              </w:rPr>
              <w:t>；c)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费用支付资金回收</w:t>
            </w:r>
            <w:r>
              <w:rPr>
                <w:rFonts w:hint="eastAsia" w:ascii="宋体" w:hAnsi="宋体" w:cs="宋体"/>
                <w:sz w:val="21"/>
                <w:szCs w:val="21"/>
              </w:rPr>
              <w:t>；d)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人员的流动 员工业务素质 绩效考核</w:t>
            </w:r>
            <w:r>
              <w:rPr>
                <w:rFonts w:hint="eastAsia" w:ascii="宋体" w:hAnsi="宋体" w:cs="宋体"/>
                <w:sz w:val="21"/>
                <w:szCs w:val="21"/>
              </w:rPr>
              <w:t>；e)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基础设施管理 公司运行环境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见《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风险与机会评价与应对策划表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》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外因：新领域、新设备、新工艺，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风险：公司现有的作业设备如果比较落后，造成业务的成本较高，缺少市场竞争力，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导致公司利润下滑，公司员工福利不能保障。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机遇：通过引进新的设备、工艺，提高公司的作业水平，降低业务成本，提高公司的市场竞争力，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企业利润增加，保障员工福利。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运行控制措施：公司根据目前的技术水平，制定的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作业计划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和设备更新计划，相关职能部门予以有效落实。</w:t>
            </w:r>
          </w:p>
          <w:p>
            <w:pPr>
              <w:pStyle w:val="2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内因：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管理流程风险：目前公司管理流程基本覆盖了公司日常工作，但是流程执行力如果得不到保证，会对公司运行带来一定的风险，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员工期望需求得不到沟通。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机遇：完善流程，提高执行力，可以提高公司的管理水平，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员工或员工代表能参与公司管理，员工期望能够得到沟通。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运行控制措施：1.各级部门必须严格按照流程开展日常工作，对出现的不符合情况及时调整文件，保持流程的可操作性； 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查《不可接受风险清单》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不可接受风险：■机械伤害、■职业病、■火灾、■高空坠物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措施：1、员工安全培训，制定应急响应；2、配置适量的消防器材；3、对操作工进行设备安全操作培训；4、对设备进行日常维护保养；5、危险部位、运转部位进行防护措施；6、张贴警示标识；7、按期发放劳保用品并检查正确穿戴情况；8安装环保设备，在厂房内无组织排放；9厂房隔声，配套消音器、基础减震；10员工带口罩、耳塞.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查《危险源辨识及风险评价表》：</w:t>
            </w:r>
          </w:p>
          <w:p>
            <w:pPr>
              <w:pStyle w:val="2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违反库房管理规定（库房吸烟、明火作业、避雷设施破坏）；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卸车时采取措施不当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；发货区域车辆多，刹车失灵，车速快，不拉手闸，停车混乱等等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措施：严格执行库房管理，配备消防系统，并经常检查是否在有效期内；装卸车时，要有专人指挥，专人监护，信号联络准确畅通，并对周围环境进行确认；员工安全培训，制定应急响应；建立慢行标志，划出停车线等等。</w:t>
            </w: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656" w:type="dxa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OH&amp;S目标及其实现的策划</w:t>
            </w:r>
          </w:p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sz w:val="21"/>
                <w:szCs w:val="21"/>
              </w:rPr>
              <w:t xml:space="preserve"> 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47" w:type="dxa"/>
            <w:vAlign w:val="top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管理目标有：                               </w:t>
            </w:r>
          </w:p>
          <w:p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1、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顾客满意度≥95%；完</w:t>
            </w:r>
          </w:p>
          <w:p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 合同评审率100%，</w:t>
            </w:r>
          </w:p>
          <w:p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 供应商评价达成率100%；</w:t>
            </w:r>
          </w:p>
          <w:p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 固体废弃物分类收集处置率100%</w:t>
            </w:r>
          </w:p>
          <w:p>
            <w:pPr>
              <w:pStyle w:val="18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5、火灾事故为0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            </w:t>
            </w:r>
          </w:p>
          <w:p>
            <w:pPr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目标可测量，与公司方针一致。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管理目标完成情况：查到201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部门管理目标完成情况，以上管理目标已全部完成，考核：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张伟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656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运行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得策划和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控制</w:t>
            </w:r>
          </w:p>
        </w:tc>
        <w:tc>
          <w:tcPr>
            <w:tcW w:w="1269" w:type="dxa"/>
            <w:vAlign w:val="top"/>
          </w:tcPr>
          <w:p>
            <w:pPr>
              <w:spacing w:line="28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O 8.1</w:t>
            </w:r>
          </w:p>
        </w:tc>
        <w:tc>
          <w:tcPr>
            <w:tcW w:w="1094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有《环境和职业健康安全运行控制管理程序》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XL </w:t>
            </w:r>
            <w:r>
              <w:rPr>
                <w:rFonts w:hint="eastAsia"/>
                <w:sz w:val="21"/>
                <w:szCs w:val="21"/>
              </w:rPr>
              <w:t>/QES02</w:t>
            </w:r>
            <w:r>
              <w:rPr>
                <w:rFonts w:hint="eastAsia"/>
                <w:sz w:val="21"/>
                <w:szCs w:val="21"/>
                <w:lang w:eastAsia="zh-CN"/>
              </w:rPr>
              <w:t>-2019</w:t>
            </w:r>
            <w:r>
              <w:rPr>
                <w:rFonts w:hint="eastAsia"/>
                <w:sz w:val="21"/>
                <w:szCs w:val="21"/>
              </w:rPr>
              <w:t>-15；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XL /QES02-2019-28《外部提供产品、服务和过程控制程序》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■职业病体检：进行职业病体检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查体检报告：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■机械伤害：有医药箱（创可贴、医用酒精、碘伏、十滴水、藿香正气胶囊、京万红）；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■触电：有过流保护器；全公司使用220V的电压；无任何配电柜；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■安全用电：不随便拉电线，不随便使用大功率电器；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■消防：只有消防栓、灭火器（干粉、水基）；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针对职业健康安全目标，企业制定了响应措施：1、员工安全培训，制定应急响应；2、配置适量的消防器材；3、对操作工进行设备安全操作培训；4、对设备进行日常维护保养；5、危险部位、运转部位进行防护措施；6、张贴警示标识；7、按期发放劳保用品并检查正确穿戴情况；8安装环保设备，在厂房内无组织排放；9厂房隔声，配套消音器、基础减震；10员工带口罩、耳塞.公司共计投入5万元启动资金用于安全防护。由综合部负责管理。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查看《消防器材更新维护记录》、《劳保用品领用登记表》、《企业环境安全大检查记录表》记录完善。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近一年无工伤发生；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查到公司为员工缴纳了养老、工伤、医疗等保险。提供了缴纳保险的</w:t>
            </w:r>
            <w:r>
              <w:rPr>
                <w:rFonts w:hint="eastAsia"/>
                <w:sz w:val="21"/>
                <w:szCs w:val="21"/>
              </w:rPr>
              <w:t>票据及社会保险在职人员信息统计表。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现场查看办公区域配备有符合要求的灭火器，办公室设备、电器状态良好，无安全隐患。</w:t>
            </w:r>
          </w:p>
          <w:p>
            <w:pPr>
              <w:pStyle w:val="2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无外包过程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查采购清单：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1、嘉特螺丝五金批发部（供应：螺栓、螺丝、铁丝等）；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2、长葛市振轩钢材 （供应：角铁、角钢、方管等）                                      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3、亚东机电总汇（焊条、焊丝）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4、多乐士油漆商行（油漆）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5、钰全五金商行（五金、铁丝、劳保用品等）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供方：长葛市振轩钢材销售    2019年10月19日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采购物资：钢材7.5# 5# 4#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订单明确产品名称、型号、数量、单价、违约等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2、供方：太和北方吴其钢材批发部   2019年10月23日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采购物资：角铁 扁铁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订单明确产品名称、型号、数量、单价、违约等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3、供方：嘉特螺丝五金批发  2020年3月6日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采购物资：螺栓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订单明确产品名称、型号、数量、单价、违约等</w:t>
            </w:r>
          </w:p>
          <w:p>
            <w:pPr>
              <w:pStyle w:val="2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供应商资质齐全，在有效期内。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>--《供方评价表》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 xml:space="preserve"> 2020年3月1日供方确认：</w:t>
            </w:r>
          </w:p>
          <w:p>
            <w:pPr>
              <w:pStyle w:val="2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eastAsiaTheme="minorEastAsia"/>
                <w:sz w:val="21"/>
                <w:szCs w:val="21"/>
                <w:lang w:val="en-US" w:eastAsia="zh-CN"/>
              </w:rPr>
              <w:t xml:space="preserve">嘉特螺丝五金批发部组织各部门对该供方的资质、产品质量、诚信度、送货及时度、服务等进行了评价，有各部门评价人签字。调查评价：合格  评价人：张伟 </w:t>
            </w: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56" w:type="dxa"/>
            <w:vAlign w:val="top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应急准备和响应</w:t>
            </w:r>
          </w:p>
        </w:tc>
        <w:tc>
          <w:tcPr>
            <w:tcW w:w="1269" w:type="dxa"/>
            <w:vAlign w:val="top"/>
          </w:tcPr>
          <w:p>
            <w:pPr>
              <w:spacing w:line="280" w:lineRule="exac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O 8.2</w:t>
            </w:r>
          </w:p>
        </w:tc>
        <w:tc>
          <w:tcPr>
            <w:tcW w:w="10947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制定了《</w:t>
            </w:r>
            <w:r>
              <w:rPr>
                <w:rFonts w:hint="eastAsia" w:ascii="宋体" w:hAnsi="宋体"/>
                <w:iCs/>
                <w:sz w:val="21"/>
                <w:szCs w:val="21"/>
              </w:rPr>
              <w:t>应急准备和响应控制程序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》，包含有事件级别及不同级别事件的处理程序、事件处理组织机构及职责分工、通用及特殊处理程序、各岗位要求等。具有可操作性。</w:t>
            </w: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查到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《安全生产应急预案》，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成立应急指挥小组</w:t>
            </w: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成员</w:t>
            </w: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组长：丁荟荟，电话：18956670788</w:t>
            </w: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副组长：张伟，电话：18956626653</w:t>
            </w: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成 员：张青、杨丽萍、高怀亮、李成斌等员工。</w:t>
            </w:r>
          </w:p>
          <w:p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应急预案不重要修订。</w:t>
            </w:r>
            <w:r>
              <w:rPr>
                <w:rFonts w:hint="eastAsia" w:cs="楷体" w:asciiTheme="minorEastAsia" w:hAnsiTheme="minorEastAsia" w:eastAsiaTheme="minorEastAsia"/>
                <w:sz w:val="21"/>
                <w:szCs w:val="21"/>
              </w:rPr>
              <w:t>自体系运行以来尚未发生紧急情况。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查看《应急预案演练记录》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记录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张伟</w:t>
            </w:r>
            <w:r>
              <w:rPr>
                <w:rFonts w:hint="eastAsia"/>
                <w:bCs/>
                <w:sz w:val="21"/>
                <w:szCs w:val="21"/>
              </w:rPr>
              <w:t xml:space="preserve">  审核：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丁荟荟</w:t>
            </w:r>
            <w:r>
              <w:rPr>
                <w:rFonts w:hint="eastAsia"/>
                <w:bCs/>
                <w:sz w:val="21"/>
                <w:szCs w:val="21"/>
              </w:rPr>
              <w:t xml:space="preserve"> 日期：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2019年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进行“火灾消防应急预案演练”，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演练程序：报警、警戒、疏散、急救预演、器材使用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预案不足：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、演练程序部分员工不太清楚；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、个人防护需求无人提及；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、员工对风险危害的识别能力有待提高；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、个别部门缺席演练，且未制定替代人，演练重视程度不够。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改进措施：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、预案前的准备工作即基础教育工作需进一步加强；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、演练纪律性方面对装备部及经营部仓库提出批评；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、管理部门加强MSDS信息搜集工作及风险识别工作。</w:t>
            </w:r>
          </w:p>
        </w:tc>
        <w:tc>
          <w:tcPr>
            <w:tcW w:w="83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r>
        <w:ptab w:relativeTo="margin" w:alignment="center" w:leader="none"/>
      </w:r>
    </w:p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ISC-B-I-19 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337922"/>
    <w:rsid w:val="00340867"/>
    <w:rsid w:val="00380837"/>
    <w:rsid w:val="003A198A"/>
    <w:rsid w:val="00410914"/>
    <w:rsid w:val="004911A3"/>
    <w:rsid w:val="00536930"/>
    <w:rsid w:val="00564E53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E315A"/>
    <w:rsid w:val="00D06F59"/>
    <w:rsid w:val="00D8388C"/>
    <w:rsid w:val="00EB0164"/>
    <w:rsid w:val="00ED0F62"/>
    <w:rsid w:val="00FC5A98"/>
    <w:rsid w:val="01700A1F"/>
    <w:rsid w:val="02320294"/>
    <w:rsid w:val="026A761D"/>
    <w:rsid w:val="03097F8F"/>
    <w:rsid w:val="03C158C3"/>
    <w:rsid w:val="03EE3AEF"/>
    <w:rsid w:val="044D3BF2"/>
    <w:rsid w:val="05AB5A66"/>
    <w:rsid w:val="05EE146B"/>
    <w:rsid w:val="06085B28"/>
    <w:rsid w:val="06A27700"/>
    <w:rsid w:val="070746B2"/>
    <w:rsid w:val="08121331"/>
    <w:rsid w:val="08BF3AED"/>
    <w:rsid w:val="0CA54228"/>
    <w:rsid w:val="0CB71131"/>
    <w:rsid w:val="0CB80D72"/>
    <w:rsid w:val="0E1556EC"/>
    <w:rsid w:val="0E9A3732"/>
    <w:rsid w:val="0EBD645D"/>
    <w:rsid w:val="0ECC1CD0"/>
    <w:rsid w:val="0EED0A6D"/>
    <w:rsid w:val="0F4A24B1"/>
    <w:rsid w:val="0F834948"/>
    <w:rsid w:val="106E4F62"/>
    <w:rsid w:val="108219C2"/>
    <w:rsid w:val="127C0884"/>
    <w:rsid w:val="127E6F4E"/>
    <w:rsid w:val="13070F9C"/>
    <w:rsid w:val="13937400"/>
    <w:rsid w:val="13B32E43"/>
    <w:rsid w:val="13E03628"/>
    <w:rsid w:val="13E21228"/>
    <w:rsid w:val="14083AFA"/>
    <w:rsid w:val="157E6280"/>
    <w:rsid w:val="15A303A1"/>
    <w:rsid w:val="16405DBE"/>
    <w:rsid w:val="17375D6B"/>
    <w:rsid w:val="174F7EB6"/>
    <w:rsid w:val="17E61249"/>
    <w:rsid w:val="17ED4878"/>
    <w:rsid w:val="183E4AD4"/>
    <w:rsid w:val="185C1D51"/>
    <w:rsid w:val="197658FE"/>
    <w:rsid w:val="19CD0B20"/>
    <w:rsid w:val="1A084F58"/>
    <w:rsid w:val="1A1C2983"/>
    <w:rsid w:val="1AC421C4"/>
    <w:rsid w:val="1B0C37B9"/>
    <w:rsid w:val="1B1A539F"/>
    <w:rsid w:val="1CD86067"/>
    <w:rsid w:val="1D6F2010"/>
    <w:rsid w:val="1EED3319"/>
    <w:rsid w:val="1F310F57"/>
    <w:rsid w:val="20E91694"/>
    <w:rsid w:val="22B03105"/>
    <w:rsid w:val="22C76E54"/>
    <w:rsid w:val="23A90D6C"/>
    <w:rsid w:val="26DF0BE0"/>
    <w:rsid w:val="279236D1"/>
    <w:rsid w:val="2898019B"/>
    <w:rsid w:val="28AF03D1"/>
    <w:rsid w:val="28D43129"/>
    <w:rsid w:val="28DE357E"/>
    <w:rsid w:val="2AEE4149"/>
    <w:rsid w:val="2C3F6B85"/>
    <w:rsid w:val="2C657F2F"/>
    <w:rsid w:val="2D726C52"/>
    <w:rsid w:val="2E7A25BA"/>
    <w:rsid w:val="2EF72413"/>
    <w:rsid w:val="2F9E49DE"/>
    <w:rsid w:val="2FA93088"/>
    <w:rsid w:val="2FCA3D2E"/>
    <w:rsid w:val="2FDB118D"/>
    <w:rsid w:val="301503AB"/>
    <w:rsid w:val="30F11502"/>
    <w:rsid w:val="325E6175"/>
    <w:rsid w:val="32AB4D7B"/>
    <w:rsid w:val="34182198"/>
    <w:rsid w:val="364D7E25"/>
    <w:rsid w:val="37BC647C"/>
    <w:rsid w:val="383A5CE5"/>
    <w:rsid w:val="38D218EE"/>
    <w:rsid w:val="39620650"/>
    <w:rsid w:val="3A8F5907"/>
    <w:rsid w:val="3B4D71AC"/>
    <w:rsid w:val="3B8A40ED"/>
    <w:rsid w:val="3C2033E1"/>
    <w:rsid w:val="3EB55B1E"/>
    <w:rsid w:val="3F5852D2"/>
    <w:rsid w:val="3FD81520"/>
    <w:rsid w:val="40E9016E"/>
    <w:rsid w:val="41E27BBE"/>
    <w:rsid w:val="421B1AE2"/>
    <w:rsid w:val="429F6852"/>
    <w:rsid w:val="43007ABB"/>
    <w:rsid w:val="44801FF5"/>
    <w:rsid w:val="44CE3024"/>
    <w:rsid w:val="44D54B0B"/>
    <w:rsid w:val="45634EB0"/>
    <w:rsid w:val="457A5192"/>
    <w:rsid w:val="4922441A"/>
    <w:rsid w:val="4AAE6C5D"/>
    <w:rsid w:val="4AB442D2"/>
    <w:rsid w:val="4AD13D3E"/>
    <w:rsid w:val="4BE173AE"/>
    <w:rsid w:val="4C542AFE"/>
    <w:rsid w:val="4D2115BA"/>
    <w:rsid w:val="4DD461B7"/>
    <w:rsid w:val="4EA4309E"/>
    <w:rsid w:val="4EDE0A1E"/>
    <w:rsid w:val="50080A3B"/>
    <w:rsid w:val="519A380E"/>
    <w:rsid w:val="52276856"/>
    <w:rsid w:val="527201F3"/>
    <w:rsid w:val="52C647A7"/>
    <w:rsid w:val="52D034C9"/>
    <w:rsid w:val="53681C67"/>
    <w:rsid w:val="53DB5EEE"/>
    <w:rsid w:val="54DA6ED0"/>
    <w:rsid w:val="559E18D7"/>
    <w:rsid w:val="564B3B4B"/>
    <w:rsid w:val="5794697E"/>
    <w:rsid w:val="57C261E2"/>
    <w:rsid w:val="58364B3B"/>
    <w:rsid w:val="583D2730"/>
    <w:rsid w:val="59B51302"/>
    <w:rsid w:val="5ACE1865"/>
    <w:rsid w:val="5BED5ECF"/>
    <w:rsid w:val="5C324B6E"/>
    <w:rsid w:val="5C983C73"/>
    <w:rsid w:val="5C9D0C90"/>
    <w:rsid w:val="5E4A2A4D"/>
    <w:rsid w:val="5EA12B9A"/>
    <w:rsid w:val="5EEB373D"/>
    <w:rsid w:val="5F787693"/>
    <w:rsid w:val="622B2A10"/>
    <w:rsid w:val="62A975E6"/>
    <w:rsid w:val="63525E02"/>
    <w:rsid w:val="64636355"/>
    <w:rsid w:val="67796626"/>
    <w:rsid w:val="67DA78D8"/>
    <w:rsid w:val="68890868"/>
    <w:rsid w:val="68CB25BD"/>
    <w:rsid w:val="692010FA"/>
    <w:rsid w:val="699957B8"/>
    <w:rsid w:val="69BD7669"/>
    <w:rsid w:val="6B7733B3"/>
    <w:rsid w:val="6C063ACC"/>
    <w:rsid w:val="6C8068EF"/>
    <w:rsid w:val="6D6B3AF8"/>
    <w:rsid w:val="6D925C6C"/>
    <w:rsid w:val="6DC4767F"/>
    <w:rsid w:val="6E025ED1"/>
    <w:rsid w:val="6E373AB8"/>
    <w:rsid w:val="6E4253DB"/>
    <w:rsid w:val="6EE23F88"/>
    <w:rsid w:val="6F1D7201"/>
    <w:rsid w:val="70BD4579"/>
    <w:rsid w:val="7106307D"/>
    <w:rsid w:val="71431F5E"/>
    <w:rsid w:val="71772E88"/>
    <w:rsid w:val="71A54DCA"/>
    <w:rsid w:val="736B0691"/>
    <w:rsid w:val="746E2276"/>
    <w:rsid w:val="74E67290"/>
    <w:rsid w:val="7505395A"/>
    <w:rsid w:val="764A3BAD"/>
    <w:rsid w:val="76A61C78"/>
    <w:rsid w:val="77443805"/>
    <w:rsid w:val="79F644BC"/>
    <w:rsid w:val="7A4D0A5B"/>
    <w:rsid w:val="7A715CAF"/>
    <w:rsid w:val="7B110D85"/>
    <w:rsid w:val="7B132209"/>
    <w:rsid w:val="7C0A479B"/>
    <w:rsid w:val="7C0D2B38"/>
    <w:rsid w:val="7CD56D1D"/>
    <w:rsid w:val="7CEA10C5"/>
    <w:rsid w:val="7D58139C"/>
    <w:rsid w:val="7E0C57DA"/>
    <w:rsid w:val="7E522F2D"/>
    <w:rsid w:val="7E7A7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  <w:jc w:val="left"/>
    </w:pPr>
    <w:rPr>
      <w:rFonts w:eastAsia="仿宋_GB2312"/>
      <w:color w:val="000000"/>
    </w:rPr>
  </w:style>
  <w:style w:type="character" w:styleId="11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customStyle="1" w:styleId="17">
    <w:name w:val="标准正文"/>
    <w:basedOn w:val="1"/>
    <w:qFormat/>
    <w:uiPriority w:val="0"/>
  </w:style>
  <w:style w:type="paragraph" w:styleId="18">
    <w:name w:val="No Spacing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2020-04-11T03:48:14Z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