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759" w:type="dxa"/>
            <w:vAlign w:val="center"/>
          </w:tcPr>
          <w:p>
            <w:pPr>
              <w:spacing w:beforeLines="25" w:afterLines="25"/>
              <w:rPr>
                <w:rFonts w:hint="eastAsia" w:ascii="宋体" w:hAnsi="宋体" w:eastAsia="宋体" w:cs="宋体"/>
                <w:sz w:val="21"/>
                <w:szCs w:val="21"/>
                <w:lang w:eastAsia="zh-CN"/>
              </w:rPr>
            </w:pPr>
            <w:r>
              <w:rPr>
                <w:rFonts w:hint="eastAsia"/>
                <w:sz w:val="21"/>
                <w:szCs w:val="21"/>
              </w:rPr>
              <w:t>受审核部</w:t>
            </w:r>
            <w:r>
              <w:rPr>
                <w:rFonts w:hint="eastAsia" w:ascii="Times New Roman" w:hAnsi="Times New Roman" w:eastAsia="宋体" w:cs="Times New Roman"/>
                <w:sz w:val="21"/>
                <w:szCs w:val="21"/>
              </w:rPr>
              <w:t>门：</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r>
              <w:rPr>
                <w:rFonts w:hint="eastAsia" w:ascii="宋体" w:hAnsi="宋体" w:eastAsia="宋体" w:cs="宋体"/>
                <w:sz w:val="21"/>
                <w:szCs w:val="21"/>
                <w:lang w:eastAsia="zh-CN"/>
              </w:rPr>
              <w:t>、</w:t>
            </w:r>
          </w:p>
          <w:p>
            <w:pPr>
              <w:spacing w:beforeLines="25" w:afterLines="25"/>
              <w:rPr>
                <w:rFonts w:hint="eastAsia" w:asciiTheme="minorEastAsia" w:hAnsiTheme="minorEastAsia" w:eastAsiaTheme="minorEastAsia" w:cstheme="minorEastAsia"/>
                <w:sz w:val="21"/>
                <w:szCs w:val="21"/>
                <w:lang w:val="en-US" w:eastAsia="zh-CN"/>
              </w:rPr>
            </w:pPr>
            <w:r>
              <w:rPr>
                <w:rFonts w:hint="eastAsia" w:ascii="Times New Roman" w:hAnsi="Times New Roman" w:eastAsia="宋体" w:cs="Times New Roman"/>
                <w:sz w:val="21"/>
                <w:szCs w:val="21"/>
                <w:lang w:val="en-US" w:eastAsia="zh-CN"/>
              </w:rPr>
              <w:t>总经理：</w:t>
            </w:r>
            <w:r>
              <w:rPr>
                <w:rFonts w:hint="eastAsia" w:asciiTheme="minorEastAsia" w:hAnsiTheme="minorEastAsia" w:eastAsiaTheme="minorEastAsia" w:cstheme="minorEastAsia"/>
                <w:sz w:val="21"/>
                <w:szCs w:val="21"/>
                <w:lang w:val="en-US" w:eastAsia="zh-CN"/>
              </w:rPr>
              <w:t xml:space="preserve">丁荟荟、 管理者代表：张伟     </w:t>
            </w:r>
          </w:p>
          <w:p>
            <w:pPr>
              <w:spacing w:beforeLines="25" w:afterLines="25"/>
              <w:rPr>
                <w:rFonts w:hint="default"/>
                <w:sz w:val="21"/>
                <w:szCs w:val="21"/>
                <w:lang w:val="en-US"/>
              </w:rPr>
            </w:pP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生产部</w:t>
            </w:r>
            <w:r>
              <w:rPr>
                <w:rFonts w:hint="eastAsia" w:ascii="宋体" w:hAnsi="宋体" w:eastAsia="宋体" w:cs="Times New Roman"/>
                <w:bCs w:val="0"/>
                <w:spacing w:val="0"/>
                <w:kern w:val="2"/>
                <w:sz w:val="21"/>
                <w:szCs w:val="21"/>
                <w:lang w:val="en-US" w:eastAsia="zh-CN" w:bidi="ar-SA"/>
              </w:rPr>
              <w:t>高怀亮</w:t>
            </w:r>
            <w:r>
              <w:rPr>
                <w:rFonts w:hint="eastAsia" w:asciiTheme="minorEastAsia" w:hAnsiTheme="minorEastAsia" w:eastAsiaTheme="minorEastAsia" w:cstheme="minorEastAsia"/>
                <w:sz w:val="21"/>
                <w:szCs w:val="21"/>
                <w:lang w:val="en-US" w:eastAsia="zh-CN"/>
              </w:rPr>
              <w:t xml:space="preserve"> 、供销部</w:t>
            </w:r>
            <w:r>
              <w:rPr>
                <w:rFonts w:hint="eastAsia" w:ascii="宋体" w:hAnsi="宋体" w:eastAsia="宋体" w:cs="Times New Roman"/>
                <w:bCs w:val="0"/>
                <w:spacing w:val="0"/>
                <w:kern w:val="2"/>
                <w:sz w:val="21"/>
                <w:szCs w:val="21"/>
                <w:lang w:val="en-US" w:eastAsia="zh-CN" w:bidi="ar-SA"/>
              </w:rPr>
              <w:t>张青</w:t>
            </w:r>
            <w:r>
              <w:rPr>
                <w:rFonts w:hint="eastAsia" w:ascii="宋体" w:hAnsi="宋体" w:cs="Times New Roman"/>
                <w:bCs w:val="0"/>
                <w:spacing w:val="0"/>
                <w:kern w:val="2"/>
                <w:sz w:val="21"/>
                <w:szCs w:val="21"/>
                <w:lang w:val="en-US" w:eastAsia="zh-CN" w:bidi="ar-SA"/>
              </w:rPr>
              <w:t xml:space="preserve">  </w:t>
            </w:r>
            <w:r>
              <w:rPr>
                <w:rFonts w:hint="eastAsia" w:asciiTheme="minorEastAsia" w:hAnsiTheme="minorEastAsia" w:eastAsiaTheme="minorEastAsia" w:cstheme="minorEastAsia"/>
                <w:sz w:val="21"/>
                <w:szCs w:val="21"/>
                <w:lang w:val="en-US" w:eastAsia="zh-CN"/>
              </w:rPr>
              <w:t>等</w:t>
            </w:r>
          </w:p>
        </w:tc>
        <w:tc>
          <w:tcPr>
            <w:tcW w:w="830"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spacing w:before="120"/>
              <w:rPr>
                <w:sz w:val="21"/>
                <w:szCs w:val="21"/>
              </w:rPr>
            </w:pPr>
            <w:r>
              <w:rPr>
                <w:rFonts w:hint="eastAsia"/>
                <w:sz w:val="21"/>
                <w:szCs w:val="21"/>
              </w:rPr>
              <w:t>审核员：</w:t>
            </w:r>
            <w:r>
              <w:rPr>
                <w:rFonts w:hint="eastAsia"/>
                <w:sz w:val="21"/>
                <w:szCs w:val="21"/>
                <w:lang w:val="en-US" w:eastAsia="zh-CN"/>
              </w:rPr>
              <w:t xml:space="preserve">王志慧  岳树亮           </w:t>
            </w:r>
            <w:r>
              <w:rPr>
                <w:rFonts w:hint="eastAsia"/>
                <w:sz w:val="21"/>
                <w:szCs w:val="21"/>
              </w:rPr>
              <w:t>审核时</w:t>
            </w:r>
            <w:r>
              <w:rPr>
                <w:rFonts w:hint="eastAsia" w:ascii="Times New Roman" w:hAnsi="Times New Roman" w:eastAsia="宋体" w:cs="Times New Roman"/>
                <w:sz w:val="21"/>
                <w:szCs w:val="21"/>
                <w:lang w:val="en-US" w:eastAsia="zh-CN"/>
              </w:rPr>
              <w:t>间：2020年4月</w:t>
            </w:r>
            <w:r>
              <w:rPr>
                <w:rFonts w:hint="eastAsia" w:cs="Times New Roman"/>
                <w:sz w:val="21"/>
                <w:szCs w:val="21"/>
                <w:lang w:val="en-US" w:eastAsia="zh-CN"/>
              </w:rPr>
              <w:t>6</w:t>
            </w:r>
            <w:r>
              <w:rPr>
                <w:rFonts w:hint="eastAsia" w:ascii="Times New Roman" w:hAnsi="Times New Roman" w:eastAsia="宋体" w:cs="Times New Roman"/>
                <w:sz w:val="21"/>
                <w:szCs w:val="21"/>
                <w:lang w:val="en-US" w:eastAsia="zh-CN"/>
              </w:rPr>
              <w:t>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rPr>
                <w:rFonts w:hint="eastAsia" w:eastAsia="宋体"/>
                <w:sz w:val="21"/>
                <w:szCs w:val="21"/>
                <w:lang w:val="en-US" w:eastAsia="zh-CN"/>
              </w:rPr>
            </w:pPr>
            <w:r>
              <w:rPr>
                <w:rFonts w:hint="eastAsia"/>
                <w:sz w:val="21"/>
                <w:szCs w:val="21"/>
              </w:rPr>
              <w:t>审核条款：</w:t>
            </w:r>
            <w:r>
              <w:rPr>
                <w:rFonts w:hint="eastAsia"/>
                <w:sz w:val="21"/>
                <w:szCs w:val="21"/>
                <w:lang w:val="en-US" w:eastAsia="zh-CN"/>
              </w:rPr>
              <w:t>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 w:val="21"/>
                <w:szCs w:val="21"/>
              </w:rPr>
            </w:pPr>
            <w:r>
              <w:rPr>
                <w:rFonts w:hint="eastAsia" w:ascii="宋体" w:hAnsi="宋体" w:cs="宋体"/>
                <w:sz w:val="21"/>
                <w:szCs w:val="21"/>
              </w:rPr>
              <w:t>受审核方基本信息确认</w:t>
            </w:r>
          </w:p>
          <w:p>
            <w:pPr>
              <w:rPr>
                <w:sz w:val="21"/>
                <w:szCs w:val="21"/>
              </w:rPr>
            </w:pPr>
          </w:p>
        </w:tc>
        <w:tc>
          <w:tcPr>
            <w:tcW w:w="960" w:type="dxa"/>
          </w:tcPr>
          <w:p>
            <w:pPr>
              <w:rPr>
                <w:sz w:val="21"/>
                <w:szCs w:val="21"/>
              </w:rPr>
            </w:pPr>
          </w:p>
        </w:tc>
        <w:tc>
          <w:tcPr>
            <w:tcW w:w="10759" w:type="dxa"/>
          </w:tcPr>
          <w:p>
            <w:pPr>
              <w:ind w:firstLine="420" w:firstLineChars="200"/>
              <w:rPr>
                <w:sz w:val="21"/>
                <w:szCs w:val="21"/>
              </w:rPr>
            </w:pPr>
            <w:r>
              <w:rPr>
                <w:rFonts w:hint="eastAsia"/>
                <w:sz w:val="21"/>
                <w:szCs w:val="21"/>
              </w:rPr>
              <w:t>面谈人员：</w:t>
            </w:r>
            <w:r>
              <w:rPr>
                <w:rFonts w:hint="eastAsia" w:asciiTheme="minorEastAsia" w:hAnsiTheme="minorEastAsia" w:eastAsiaTheme="minorEastAsia" w:cstheme="minorEastAsia"/>
                <w:sz w:val="21"/>
                <w:szCs w:val="21"/>
                <w:lang w:val="en-US" w:eastAsia="zh-CN"/>
              </w:rPr>
              <w:t xml:space="preserve">总经理丁荟荟、 管理者代表张伟     </w:t>
            </w:r>
          </w:p>
          <w:p>
            <w:pPr>
              <w:pStyle w:val="2"/>
              <w:ind w:firstLine="460" w:firstLineChars="200"/>
              <w:rPr>
                <w:rFonts w:hint="eastAsia"/>
                <w:sz w:val="21"/>
                <w:szCs w:val="21"/>
                <w:lang w:val="en-US" w:eastAsia="zh-CN"/>
              </w:rPr>
            </w:pPr>
            <w:r>
              <w:rPr>
                <w:rFonts w:hint="eastAsia"/>
                <w:lang w:eastAsia="zh-CN"/>
              </w:rPr>
              <w:t>安徽鑫梁模架科技有限公司成立于2019年10月15日，注册地位于安徽省阜阳市太和县城关镇工业园东区工二路与兴业路交叉路口西侧，</w:t>
            </w:r>
            <w:r>
              <w:rPr>
                <w:rFonts w:hint="eastAsia"/>
                <w:lang w:val="en-US" w:eastAsia="zh-CN"/>
              </w:rPr>
              <w:t>主要生产装配式安全梯笼、安全通道设备、临边防护栏制造及相关职业健康安全管理活动</w:t>
            </w:r>
            <w:r>
              <w:rPr>
                <w:rFonts w:hint="eastAsia" w:ascii="Times New Roman" w:hAnsi="Times New Roman" w:eastAsia="宋体" w:cs="Times New Roman"/>
                <w:color w:val="auto"/>
                <w:sz w:val="21"/>
                <w:szCs w:val="21"/>
              </w:rPr>
              <w:t>。</w:t>
            </w:r>
          </w:p>
          <w:p>
            <w:pPr>
              <w:ind w:firstLine="420" w:firstLineChars="200"/>
              <w:rPr>
                <w:rFonts w:hint="eastAsia"/>
              </w:rPr>
            </w:pPr>
            <w:r>
              <w:rPr>
                <w:rFonts w:hint="eastAsia"/>
                <w:sz w:val="21"/>
                <w:szCs w:val="21"/>
              </w:rPr>
              <w:t xml:space="preserve">提供该公司《管理手册》，对公司地理位置、国内市场地位、法律法规要求、公司内部文化观价值观、内外部环境变化等均作出描述。 </w:t>
            </w:r>
          </w:p>
          <w:p>
            <w:pPr>
              <w:spacing w:line="360" w:lineRule="auto"/>
              <w:ind w:firstLine="420" w:firstLineChars="200"/>
            </w:pPr>
            <w:r>
              <w:rPr>
                <w:rFonts w:hint="eastAsia" w:ascii="宋体" w:hAnsi="宋体" w:cs="宋体"/>
                <w:sz w:val="21"/>
                <w:szCs w:val="21"/>
              </w:rPr>
              <w:t>经现场确认受审核方的管理体系范围无变化为：</w:t>
            </w:r>
          </w:p>
          <w:p>
            <w:pPr>
              <w:rPr>
                <w:sz w:val="21"/>
                <w:szCs w:val="21"/>
              </w:rPr>
            </w:pPr>
            <w:r>
              <w:rPr>
                <w:rFonts w:hint="eastAsia" w:cs="Times New Roman"/>
                <w:color w:val="auto"/>
                <w:sz w:val="21"/>
                <w:szCs w:val="21"/>
                <w:lang w:val="en-US" w:eastAsia="zh-CN"/>
              </w:rPr>
              <w:t>O</w:t>
            </w:r>
            <w:r>
              <w:rPr>
                <w:rFonts w:hint="default" w:ascii="Times New Roman" w:hAnsi="Times New Roman" w:eastAsia="宋体" w:cs="Times New Roman"/>
                <w:color w:val="auto"/>
                <w:sz w:val="21"/>
                <w:szCs w:val="21"/>
              </w:rPr>
              <w:t>：</w:t>
            </w:r>
            <w:r>
              <w:rPr>
                <w:rFonts w:hint="eastAsia"/>
                <w:lang w:val="en-US" w:eastAsia="zh-CN"/>
              </w:rPr>
              <w:t>安全梯笼、安全通道设备、临边防护栏制造</w:t>
            </w:r>
          </w:p>
        </w:tc>
        <w:tc>
          <w:tcPr>
            <w:tcW w:w="830"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400" w:lineRule="exact"/>
              <w:rPr>
                <w:sz w:val="21"/>
                <w:szCs w:val="21"/>
              </w:rPr>
            </w:pPr>
            <w:r>
              <w:rPr>
                <w:rFonts w:hint="eastAsia"/>
                <w:sz w:val="21"/>
                <w:szCs w:val="21"/>
              </w:rPr>
              <w:t>管理体系运行起始日</w:t>
            </w:r>
          </w:p>
          <w:p>
            <w:pPr>
              <w:spacing w:line="400" w:lineRule="exact"/>
              <w:rPr>
                <w:color w:val="FF0000"/>
                <w:sz w:val="21"/>
                <w:szCs w:val="21"/>
              </w:rPr>
            </w:pPr>
            <w:r>
              <w:rPr>
                <w:rFonts w:hint="eastAsia"/>
                <w:sz w:val="21"/>
                <w:szCs w:val="21"/>
              </w:rPr>
              <w:t>确认组织实际与管理体系文件描述的一致性</w:t>
            </w:r>
          </w:p>
          <w:p>
            <w:pPr>
              <w:spacing w:line="400" w:lineRule="exact"/>
              <w:rPr>
                <w:sz w:val="21"/>
                <w:szCs w:val="21"/>
              </w:rPr>
            </w:pPr>
            <w:r>
              <w:rPr>
                <w:rFonts w:hint="eastAsia"/>
                <w:sz w:val="21"/>
                <w:szCs w:val="21"/>
              </w:rPr>
              <w:t>组织机构（如部门设置和负责人，服务过程）</w:t>
            </w:r>
          </w:p>
          <w:p>
            <w:pPr>
              <w:rPr>
                <w:sz w:val="21"/>
                <w:szCs w:val="21"/>
              </w:rPr>
            </w:pPr>
          </w:p>
        </w:tc>
        <w:tc>
          <w:tcPr>
            <w:tcW w:w="960" w:type="dxa"/>
          </w:tcPr>
          <w:p>
            <w:pPr>
              <w:rPr>
                <w:sz w:val="21"/>
                <w:szCs w:val="21"/>
              </w:rPr>
            </w:pPr>
          </w:p>
        </w:tc>
        <w:tc>
          <w:tcPr>
            <w:tcW w:w="10759" w:type="dxa"/>
          </w:tcPr>
          <w:p>
            <w:pPr>
              <w:spacing w:line="360" w:lineRule="auto"/>
              <w:jc w:val="left"/>
              <w:rPr>
                <w:rFonts w:hint="default" w:ascii="宋体" w:hAnsi="宋体" w:eastAsia="宋体" w:cs="宋体"/>
                <w:sz w:val="21"/>
                <w:szCs w:val="21"/>
                <w:lang w:val="en-US" w:eastAsia="zh-CN"/>
              </w:rPr>
            </w:pPr>
            <w:r>
              <w:rPr>
                <w:rFonts w:hint="eastAsia" w:ascii="宋体" w:hAnsi="宋体"/>
                <w:bCs/>
                <w:sz w:val="21"/>
                <w:szCs w:val="21"/>
              </w:rPr>
              <w:t>质量环境职业</w:t>
            </w:r>
            <w:r>
              <w:rPr>
                <w:rFonts w:hint="eastAsia" w:ascii="宋体" w:hAnsi="宋体" w:cs="宋体"/>
                <w:sz w:val="21"/>
                <w:szCs w:val="21"/>
              </w:rPr>
              <w:t>健康安全管理体系于</w:t>
            </w:r>
            <w:r>
              <w:rPr>
                <w:rFonts w:hint="eastAsia" w:ascii="宋体" w:hAnsi="宋体" w:cs="宋体"/>
                <w:color w:val="auto"/>
                <w:sz w:val="21"/>
                <w:szCs w:val="21"/>
              </w:rPr>
              <w:t>组织从</w:t>
            </w:r>
            <w:r>
              <w:rPr>
                <w:rFonts w:hint="default" w:ascii="Times New Roman" w:hAnsi="Times New Roman" w:eastAsia="宋体" w:cs="Times New Roman"/>
                <w:b/>
                <w:bCs/>
                <w:color w:val="auto"/>
                <w:sz w:val="21"/>
                <w:szCs w:val="21"/>
              </w:rPr>
              <w:t>2019年</w:t>
            </w:r>
            <w:r>
              <w:rPr>
                <w:rFonts w:hint="eastAsia" w:cs="Times New Roman"/>
                <w:b/>
                <w:bCs/>
                <w:color w:val="auto"/>
                <w:sz w:val="21"/>
                <w:szCs w:val="21"/>
                <w:lang w:val="en-US" w:eastAsia="zh-CN"/>
              </w:rPr>
              <w:t>10</w:t>
            </w:r>
            <w:r>
              <w:rPr>
                <w:rFonts w:hint="default" w:ascii="Times New Roman" w:hAnsi="Times New Roman" w:eastAsia="宋体" w:cs="Times New Roman"/>
                <w:b/>
                <w:bCs/>
                <w:color w:val="auto"/>
                <w:sz w:val="21"/>
                <w:szCs w:val="21"/>
              </w:rPr>
              <w:t>月</w:t>
            </w:r>
            <w:r>
              <w:rPr>
                <w:rFonts w:hint="eastAsia" w:ascii="宋体" w:hAnsi="宋体" w:cs="宋体"/>
                <w:color w:val="auto"/>
                <w:sz w:val="21"/>
                <w:szCs w:val="21"/>
              </w:rPr>
              <w:t>开始运行管理体系，组织了内审员培训，识别了生产的过程及其相互关系，受审核方提供《管理手册》，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程序文件</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内审、管评文件等；</w:t>
            </w:r>
          </w:p>
          <w:p>
            <w:pPr>
              <w:spacing w:line="360" w:lineRule="auto"/>
              <w:rPr>
                <w:rFonts w:hint="eastAsia" w:ascii="宋体" w:hAnsi="宋体" w:eastAsia="宋体" w:cs="宋体"/>
                <w:sz w:val="21"/>
                <w:szCs w:val="21"/>
              </w:rPr>
            </w:pPr>
            <w:r>
              <w:rPr>
                <w:rFonts w:hint="eastAsia" w:ascii="宋体" w:hAnsi="宋体" w:cs="宋体"/>
                <w:sz w:val="21"/>
                <w:szCs w:val="21"/>
              </w:rPr>
              <w:t>组织机构：</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p>
          <w:p>
            <w:pPr>
              <w:spacing w:line="360" w:lineRule="auto"/>
              <w:rPr>
                <w:rFonts w:ascii="宋体" w:hAnsi="宋体" w:cs="宋体"/>
                <w:sz w:val="21"/>
                <w:szCs w:val="21"/>
              </w:rPr>
            </w:pPr>
            <w:r>
              <w:rPr>
                <w:rFonts w:hint="eastAsia" w:ascii="宋体" w:hAnsi="宋体" w:cs="宋体"/>
                <w:sz w:val="21"/>
                <w:szCs w:val="21"/>
              </w:rPr>
              <w:t>据负责人</w:t>
            </w:r>
            <w:r>
              <w:rPr>
                <w:rFonts w:hint="eastAsia" w:ascii="宋体" w:hAnsi="宋体" w:cs="宋体"/>
                <w:sz w:val="21"/>
                <w:szCs w:val="21"/>
                <w:lang w:val="en-US" w:eastAsia="zh-CN"/>
              </w:rPr>
              <w:t>张伟</w:t>
            </w:r>
            <w:r>
              <w:rPr>
                <w:rFonts w:hint="eastAsia" w:ascii="宋体" w:hAnsi="宋体" w:cs="宋体"/>
                <w:sz w:val="21"/>
                <w:szCs w:val="21"/>
              </w:rPr>
              <w:t>介绍公司管理体系运行已超三个月。对部门及其职责进行了规定，编制了岗位职责汇编，以文件上发的形式沟通各部门的职责及各部门之间工作的联系。</w:t>
            </w:r>
          </w:p>
          <w:p>
            <w:pPr>
              <w:spacing w:line="360" w:lineRule="auto"/>
              <w:rPr>
                <w:rFonts w:ascii="宋体" w:hAnsi="宋体" w:cs="宋体"/>
                <w:sz w:val="21"/>
                <w:szCs w:val="21"/>
              </w:rPr>
            </w:pPr>
            <w:r>
              <w:rPr>
                <w:rFonts w:hint="eastAsia" w:ascii="宋体" w:hAnsi="宋体" w:cs="宋体"/>
                <w:sz w:val="21"/>
                <w:szCs w:val="21"/>
              </w:rPr>
              <w:t>总经理主要负责公司全面工作，负责组织制定方针、目标，管理评审等工作；</w:t>
            </w:r>
          </w:p>
          <w:p>
            <w:pPr>
              <w:spacing w:line="360" w:lineRule="auto"/>
              <w:rPr>
                <w:sz w:val="21"/>
                <w:szCs w:val="21"/>
              </w:rPr>
            </w:pPr>
            <w:r>
              <w:rPr>
                <w:rFonts w:hint="eastAsia" w:ascii="宋体" w:hAnsi="宋体" w:cs="宋体"/>
                <w:sz w:val="21"/>
                <w:szCs w:val="21"/>
              </w:rPr>
              <w:t>管代主要负责体系管理工作</w:t>
            </w:r>
            <w:r>
              <w:rPr>
                <w:rFonts w:hint="eastAsia" w:ascii="宋体" w:hAnsi="宋体" w:cs="宋体"/>
                <w:sz w:val="21"/>
                <w:szCs w:val="21"/>
                <w:lang w:val="en-US" w:eastAsia="zh-CN"/>
              </w:rPr>
              <w:t>等</w:t>
            </w:r>
            <w:r>
              <w:rPr>
                <w:rFonts w:hint="eastAsia" w:ascii="宋体" w:hAnsi="宋体" w:cs="宋体"/>
                <w:sz w:val="21"/>
                <w:szCs w:val="21"/>
              </w:rPr>
              <w:t>。</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160" w:type="dxa"/>
          </w:tcPr>
          <w:p>
            <w:pPr>
              <w:spacing w:line="400" w:lineRule="exact"/>
              <w:rPr>
                <w:color w:val="auto"/>
                <w:sz w:val="21"/>
                <w:szCs w:val="21"/>
              </w:rPr>
            </w:pPr>
            <w:r>
              <w:rPr>
                <w:rFonts w:hint="eastAsia"/>
                <w:color w:val="auto"/>
                <w:sz w:val="21"/>
                <w:szCs w:val="21"/>
              </w:rPr>
              <w:t>风险和机遇的识别、企业内外部环境分析及相关方的需求和知识</w:t>
            </w:r>
          </w:p>
        </w:tc>
        <w:tc>
          <w:tcPr>
            <w:tcW w:w="960" w:type="dxa"/>
          </w:tcPr>
          <w:p>
            <w:pPr>
              <w:rPr>
                <w:color w:val="auto"/>
                <w:sz w:val="21"/>
                <w:szCs w:val="21"/>
              </w:rPr>
            </w:pPr>
          </w:p>
        </w:tc>
        <w:tc>
          <w:tcPr>
            <w:tcW w:w="10759" w:type="dxa"/>
          </w:tcPr>
          <w:p>
            <w:pPr>
              <w:ind w:firstLine="420" w:firstLineChars="200"/>
              <w:rPr>
                <w:rFonts w:ascii="宋体" w:hAnsi="宋体" w:cs="宋体"/>
                <w:color w:val="auto"/>
                <w:sz w:val="21"/>
                <w:szCs w:val="21"/>
              </w:rPr>
            </w:pPr>
            <w:r>
              <w:rPr>
                <w:rFonts w:hint="eastAsia" w:ascii="宋体" w:hAnsi="宋体" w:cs="宋体"/>
                <w:color w:val="auto"/>
                <w:sz w:val="21"/>
                <w:szCs w:val="21"/>
              </w:rPr>
              <w:t>公司制定管理手册中，明确风险和机遇事件的识别方法</w:t>
            </w:r>
            <w:r>
              <w:rPr>
                <w:rFonts w:ascii="宋体" w:hAnsi="宋体" w:cs="宋体"/>
                <w:color w:val="auto"/>
                <w:sz w:val="21"/>
                <w:szCs w:val="21"/>
              </w:rPr>
              <w:t>/</w:t>
            </w:r>
            <w:r>
              <w:rPr>
                <w:rFonts w:hint="eastAsia" w:ascii="宋体" w:hAnsi="宋体" w:cs="宋体"/>
                <w:color w:val="auto"/>
                <w:sz w:val="21"/>
                <w:szCs w:val="21"/>
              </w:rPr>
              <w:t>途径、风险和机遇事件的评估方式、制定主要风险和机遇事件的应对措施的要求、评价这些措施有效性的方法。</w:t>
            </w:r>
          </w:p>
          <w:p>
            <w:pPr>
              <w:ind w:firstLine="420" w:firstLineChars="200"/>
              <w:rPr>
                <w:color w:val="auto"/>
                <w:sz w:val="21"/>
                <w:szCs w:val="21"/>
              </w:rPr>
            </w:pPr>
            <w:r>
              <w:rPr>
                <w:rFonts w:hint="eastAsia" w:ascii="宋体" w:hAnsi="宋体" w:cs="宋体"/>
                <w:color w:val="auto"/>
                <w:sz w:val="21"/>
                <w:szCs w:val="21"/>
              </w:rPr>
              <w:t>制定了风险和机遇分析、评价和应对措施的确定程序，提供“风险与机遇评价与应对策划表”，按照生产销售、采购、支持过程</w:t>
            </w:r>
            <w:r>
              <w:rPr>
                <w:rFonts w:ascii="宋体" w:hAnsi="宋体" w:cs="宋体"/>
                <w:color w:val="auto"/>
                <w:sz w:val="21"/>
                <w:szCs w:val="21"/>
              </w:rPr>
              <w:t>/</w:t>
            </w:r>
            <w:r>
              <w:rPr>
                <w:rFonts w:hint="eastAsia" w:ascii="宋体" w:hAnsi="宋体" w:cs="宋体"/>
                <w:color w:val="auto"/>
                <w:sz w:val="21"/>
                <w:szCs w:val="21"/>
              </w:rPr>
              <w:t>部门对风险和机遇进行了评价识别，并制定应对措施。二阶段详查。</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spacing w:line="400" w:lineRule="exact"/>
              <w:rPr>
                <w:sz w:val="21"/>
                <w:szCs w:val="21"/>
              </w:rPr>
            </w:pPr>
            <w:r>
              <w:rPr>
                <w:rFonts w:hint="eastAsia"/>
                <w:sz w:val="21"/>
                <w:szCs w:val="21"/>
              </w:rPr>
              <w:t>方针、目标、指标和方案情况</w:t>
            </w:r>
          </w:p>
          <w:p>
            <w:pPr>
              <w:rPr>
                <w:rFonts w:asciiTheme="minorEastAsia" w:hAnsiTheme="minorEastAsia" w:eastAsiaTheme="minorEastAsia" w:cstheme="minorEastAsia"/>
                <w:kern w:val="2"/>
                <w:sz w:val="21"/>
                <w:szCs w:val="21"/>
                <w:lang w:val="en-US" w:eastAsia="zh-CN" w:bidi="ar-SA"/>
              </w:rPr>
            </w:pPr>
          </w:p>
        </w:tc>
        <w:tc>
          <w:tcPr>
            <w:tcW w:w="0" w:type="auto"/>
          </w:tcPr>
          <w:p>
            <w:pPr>
              <w:rPr>
                <w:color w:val="auto"/>
                <w:sz w:val="21"/>
                <w:szCs w:val="21"/>
              </w:rPr>
            </w:pPr>
          </w:p>
        </w:tc>
        <w:tc>
          <w:tcPr>
            <w:tcW w:w="0" w:type="auto"/>
            <w:vAlign w:val="top"/>
          </w:tcPr>
          <w:p>
            <w:pPr>
              <w:rPr>
                <w:rFonts w:ascii="宋体" w:hAnsi="宋体" w:cs="宋体"/>
                <w:b/>
                <w:color w:val="000000"/>
                <w:szCs w:val="21"/>
              </w:rPr>
            </w:pPr>
            <w:r>
              <w:rPr>
                <w:rFonts w:hint="eastAsia"/>
                <w:szCs w:val="21"/>
              </w:rPr>
              <w:t>公司</w:t>
            </w:r>
            <w:r>
              <w:rPr>
                <w:rFonts w:hint="eastAsia" w:ascii="宋体" w:hAnsi="宋体" w:cs="宋体"/>
                <w:b/>
                <w:color w:val="000000"/>
                <w:szCs w:val="21"/>
              </w:rPr>
              <w:t>管理方针：</w:t>
            </w:r>
          </w:p>
          <w:p>
            <w:r>
              <w:rPr>
                <w:rFonts w:hint="eastAsia"/>
              </w:rPr>
              <w:t>服务至诚，精益求精，保护环境，保障安全，管理规范，持续改进 质量目标</w:t>
            </w:r>
            <w:r>
              <w:t>。</w:t>
            </w:r>
          </w:p>
          <w:p>
            <w:pPr>
              <w:rPr>
                <w:rFonts w:hint="eastAsia"/>
                <w:color w:val="auto"/>
                <w:sz w:val="21"/>
                <w:szCs w:val="21"/>
              </w:rPr>
            </w:pPr>
            <w:r>
              <w:rPr>
                <w:rFonts w:hint="eastAsia"/>
                <w:color w:val="auto"/>
                <w:sz w:val="21"/>
                <w:szCs w:val="21"/>
              </w:rPr>
              <w:t>方针在管理手册中予以规定，经总经理批准实施。</w:t>
            </w:r>
          </w:p>
          <w:p>
            <w:pPr>
              <w:pStyle w:val="2"/>
              <w:rPr>
                <w:rFonts w:hint="eastAsia"/>
              </w:rPr>
            </w:pPr>
          </w:p>
          <w:p>
            <w:pPr>
              <w:rPr>
                <w:rFonts w:hint="eastAsia"/>
                <w:lang w:eastAsia="zh-CN"/>
              </w:rPr>
            </w:pPr>
            <w:r>
              <w:rPr>
                <w:rFonts w:hint="eastAsia"/>
              </w:rPr>
              <w:t>在《管理手册》中</w:t>
            </w:r>
            <w:r>
              <w:rPr>
                <w:rFonts w:hint="eastAsia"/>
                <w:lang w:val="en-US" w:eastAsia="zh-CN"/>
              </w:rPr>
              <w:t>6</w:t>
            </w:r>
            <w:r>
              <w:rPr>
                <w:rFonts w:hint="eastAsia"/>
              </w:rPr>
              <w:t>.2条款和</w:t>
            </w:r>
            <w:r>
              <w:rPr>
                <w:rFonts w:hint="eastAsia"/>
                <w:lang w:eastAsia="zh-CN"/>
              </w:rPr>
              <w:t>《目标、指标和管理方案控制程序》</w:t>
            </w:r>
          </w:p>
          <w:p>
            <w:pPr>
              <w:spacing w:line="360" w:lineRule="auto"/>
              <w:rPr>
                <w:rFonts w:hint="eastAsia" w:eastAsia="宋体"/>
                <w:lang w:eastAsia="zh-CN"/>
              </w:rPr>
            </w:pPr>
            <w:r>
              <w:rPr>
                <w:rFonts w:hint="eastAsia"/>
              </w:rPr>
              <w:t>职业健康安全目标</w:t>
            </w:r>
            <w:r>
              <w:rPr>
                <w:rFonts w:hint="eastAsia"/>
                <w:lang w:eastAsia="zh-CN"/>
              </w:rPr>
              <w:t>：</w:t>
            </w:r>
            <w:r>
              <w:rPr>
                <w:rFonts w:hint="eastAsia"/>
              </w:rPr>
              <w:t>1、</w:t>
            </w:r>
            <w:r>
              <w:rPr>
                <w:rFonts w:hint="eastAsia"/>
                <w:lang w:val="en-US" w:eastAsia="zh-CN"/>
              </w:rPr>
              <w:t>重大伤亡事故</w:t>
            </w:r>
            <w:r>
              <w:rPr>
                <w:rFonts w:hint="eastAsia"/>
              </w:rPr>
              <w:t>为0</w:t>
            </w:r>
            <w:r>
              <w:rPr>
                <w:rFonts w:hint="eastAsia"/>
                <w:lang w:eastAsia="zh-CN"/>
              </w:rPr>
              <w:t>；</w:t>
            </w:r>
            <w:r>
              <w:rPr>
                <w:rFonts w:hint="eastAsia"/>
              </w:rPr>
              <w:t>2、火灾事故为0.</w:t>
            </w:r>
            <w:r>
              <w:rPr>
                <w:rFonts w:hint="eastAsia"/>
                <w:lang w:eastAsia="zh-CN"/>
              </w:rPr>
              <w:t>；</w:t>
            </w:r>
            <w:r>
              <w:rPr>
                <w:rFonts w:hint="eastAsia" w:ascii="宋体" w:hAnsi="宋体"/>
                <w:sz w:val="24"/>
                <w:szCs w:val="24"/>
                <w:lang w:val="en-US" w:eastAsia="zh-CN"/>
              </w:rPr>
              <w:t>职业病发生率0</w:t>
            </w:r>
          </w:p>
          <w:p>
            <w:pPr>
              <w:rPr>
                <w:rFonts w:hint="default"/>
                <w:lang w:val="en-US" w:eastAsia="zh-CN"/>
              </w:rPr>
            </w:pPr>
            <w:r>
              <w:rPr>
                <w:rFonts w:hint="eastAsia"/>
              </w:rPr>
              <w:t>有《</w:t>
            </w:r>
            <w:r>
              <w:rPr>
                <w:rFonts w:hint="eastAsia"/>
                <w:lang w:val="en-US" w:eastAsia="zh-CN"/>
              </w:rPr>
              <w:t>安全</w:t>
            </w:r>
            <w:r>
              <w:rPr>
                <w:rFonts w:hint="eastAsia"/>
              </w:rPr>
              <w:t>目标、指标及管理方案》20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20号完成统计</w:t>
            </w:r>
          </w:p>
          <w:p>
            <w:r>
              <w:rPr>
                <w:rFonts w:hint="eastAsia"/>
              </w:rPr>
              <w:t>明确了目标的考核频次、计算方法、责任部门等</w:t>
            </w:r>
          </w:p>
          <w:p>
            <w:pPr>
              <w:rPr>
                <w:sz w:val="21"/>
                <w:szCs w:val="21"/>
                <w:lang w:val="en-US" w:eastAsia="zh-CN"/>
              </w:rPr>
            </w:pPr>
            <w:r>
              <w:rPr>
                <w:rFonts w:hint="eastAsia"/>
              </w:rPr>
              <w:t>经查：目标均已完成。</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spacing w:line="400" w:lineRule="exact"/>
              <w:rPr>
                <w:sz w:val="21"/>
                <w:szCs w:val="21"/>
              </w:rPr>
            </w:pPr>
            <w:r>
              <w:rPr>
                <w:rFonts w:hint="eastAsia"/>
                <w:sz w:val="21"/>
                <w:szCs w:val="21"/>
              </w:rPr>
              <w:t>内审情况</w:t>
            </w:r>
          </w:p>
          <w:p>
            <w:pPr>
              <w:spacing w:line="400" w:lineRule="exact"/>
              <w:rPr>
                <w:sz w:val="21"/>
                <w:szCs w:val="21"/>
              </w:rPr>
            </w:pPr>
            <w:r>
              <w:rPr>
                <w:rFonts w:hint="eastAsia"/>
                <w:sz w:val="21"/>
                <w:szCs w:val="21"/>
              </w:rPr>
              <w:t>管理评审</w:t>
            </w:r>
          </w:p>
          <w:p>
            <w:pPr>
              <w:rPr>
                <w:rFonts w:asciiTheme="minorEastAsia" w:hAnsiTheme="minorEastAsia" w:eastAsiaTheme="minorEastAsia" w:cstheme="minorEastAsia"/>
                <w:kern w:val="2"/>
                <w:sz w:val="21"/>
                <w:szCs w:val="21"/>
                <w:lang w:val="en-US" w:eastAsia="zh-CN" w:bidi="ar-SA"/>
              </w:rPr>
            </w:pPr>
          </w:p>
        </w:tc>
        <w:tc>
          <w:tcPr>
            <w:tcW w:w="0" w:type="auto"/>
          </w:tcPr>
          <w:p>
            <w:pPr>
              <w:rPr>
                <w:color w:val="auto"/>
                <w:sz w:val="21"/>
                <w:szCs w:val="21"/>
              </w:rPr>
            </w:pPr>
          </w:p>
        </w:tc>
        <w:tc>
          <w:tcPr>
            <w:tcW w:w="0" w:type="auto"/>
            <w:vAlign w:val="top"/>
          </w:tcPr>
          <w:p>
            <w:pPr>
              <w:rPr>
                <w:sz w:val="21"/>
                <w:szCs w:val="21"/>
              </w:rPr>
            </w:pPr>
            <w:r>
              <w:rPr>
                <w:rFonts w:hint="eastAsia"/>
                <w:sz w:val="21"/>
                <w:szCs w:val="21"/>
              </w:rPr>
              <w:t>公司于</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p>
            <w:pPr>
              <w:rPr>
                <w:rFonts w:hint="eastAsia" w:asciiTheme="minorEastAsia" w:hAnsiTheme="minorEastAsia" w:eastAsiaTheme="minorEastAsia" w:cstheme="minorEastAsia"/>
                <w:color w:val="auto"/>
                <w:kern w:val="0"/>
                <w:sz w:val="21"/>
                <w:szCs w:val="21"/>
                <w:lang w:val="en-US" w:eastAsia="zh-CN"/>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hint="eastAsia"/>
                <w:sz w:val="21"/>
                <w:szCs w:val="21"/>
                <w:lang w:eastAsia="zh-CN"/>
              </w:rPr>
            </w:pPr>
            <w:r>
              <w:rPr>
                <w:rFonts w:hint="eastAsia"/>
                <w:sz w:val="21"/>
                <w:szCs w:val="21"/>
                <w:lang w:eastAsia="zh-CN"/>
              </w:rPr>
              <w:t>产品和服务的运行策划和控制</w:t>
            </w:r>
          </w:p>
          <w:p>
            <w:pPr>
              <w:rPr>
                <w:rFonts w:asciiTheme="minorEastAsia" w:hAnsiTheme="minorEastAsia" w:eastAsiaTheme="minorEastAsia" w:cstheme="minorEastAsia"/>
                <w:kern w:val="2"/>
                <w:sz w:val="21"/>
                <w:szCs w:val="21"/>
                <w:lang w:val="en-US" w:eastAsia="zh-CN" w:bidi="ar-SA"/>
              </w:rPr>
            </w:pPr>
            <w:r>
              <w:rPr>
                <w:rFonts w:hint="eastAsia"/>
                <w:sz w:val="21"/>
                <w:szCs w:val="21"/>
              </w:rPr>
              <w:t>需确认过程</w:t>
            </w:r>
          </w:p>
        </w:tc>
        <w:tc>
          <w:tcPr>
            <w:tcW w:w="960" w:type="dxa"/>
            <w:vAlign w:val="top"/>
          </w:tcPr>
          <w:p>
            <w:pPr>
              <w:rPr>
                <w:rFonts w:hint="eastAsia"/>
                <w:sz w:val="21"/>
                <w:szCs w:val="21"/>
                <w:lang w:val="en-US" w:eastAsia="zh-CN"/>
              </w:rPr>
            </w:pPr>
            <w:r>
              <w:rPr>
                <w:rFonts w:hint="eastAsia"/>
                <w:sz w:val="21"/>
                <w:szCs w:val="21"/>
                <w:lang w:val="en-US" w:eastAsia="zh-CN"/>
              </w:rPr>
              <w:t>O：8.1</w:t>
            </w:r>
          </w:p>
          <w:p>
            <w:pPr>
              <w:rPr>
                <w:color w:val="auto"/>
                <w:sz w:val="21"/>
                <w:szCs w:val="21"/>
              </w:rPr>
            </w:pPr>
            <w:r>
              <w:rPr>
                <w:rFonts w:hint="eastAsia"/>
                <w:sz w:val="21"/>
                <w:szCs w:val="21"/>
                <w:lang w:val="en-US" w:eastAsia="zh-CN"/>
              </w:rPr>
              <w:t>8.5.1</w:t>
            </w:r>
          </w:p>
        </w:tc>
        <w:tc>
          <w:tcPr>
            <w:tcW w:w="10759" w:type="dxa"/>
            <w:vAlign w:val="top"/>
          </w:tcPr>
          <w:p>
            <w:pPr>
              <w:rPr>
                <w:rFonts w:ascii="仿宋_GB2312" w:hAnsi="宋体" w:eastAsia="仿宋_GB2312"/>
                <w:b/>
                <w:bCs/>
                <w:sz w:val="22"/>
              </w:rPr>
            </w:pPr>
            <w:r>
              <w:rPr>
                <w:rFonts w:hint="eastAsia"/>
                <w:szCs w:val="21"/>
              </w:rPr>
              <w:t>有《环境和职业健康安全运行控制管理程序》</w:t>
            </w:r>
            <w:r>
              <w:rPr>
                <w:rFonts w:hint="eastAsia"/>
                <w:szCs w:val="21"/>
                <w:lang w:eastAsia="zh-CN"/>
              </w:rPr>
              <w:t xml:space="preserve">XL </w:t>
            </w:r>
            <w:r>
              <w:rPr>
                <w:rFonts w:hint="eastAsia"/>
                <w:szCs w:val="21"/>
              </w:rPr>
              <w:t>/QES02</w:t>
            </w:r>
            <w:r>
              <w:rPr>
                <w:rFonts w:hint="eastAsia"/>
                <w:szCs w:val="21"/>
                <w:lang w:eastAsia="zh-CN"/>
              </w:rPr>
              <w:t>-2019</w:t>
            </w:r>
            <w:r>
              <w:rPr>
                <w:rFonts w:hint="eastAsia"/>
                <w:szCs w:val="21"/>
              </w:rPr>
              <w:t>-15</w:t>
            </w:r>
            <w:r>
              <w:rPr>
                <w:rFonts w:hint="eastAsia" w:ascii="仿宋_GB2312" w:hAnsi="宋体" w:eastAsia="仿宋_GB2312"/>
                <w:b/>
                <w:bCs/>
                <w:sz w:val="22"/>
              </w:rPr>
              <w:t>；</w:t>
            </w:r>
          </w:p>
          <w:p>
            <w:pPr>
              <w:rPr>
                <w:rFonts w:hint="default" w:eastAsia="宋体"/>
                <w:szCs w:val="21"/>
                <w:lang w:val="en-US" w:eastAsia="zh-CN"/>
              </w:rPr>
            </w:pPr>
            <w:r>
              <w:rPr>
                <w:rFonts w:hint="eastAsia" w:ascii="宋体" w:hAnsi="宋体"/>
                <w:szCs w:val="21"/>
              </w:rPr>
              <w:t>■</w:t>
            </w:r>
            <w:r>
              <w:rPr>
                <w:rFonts w:hint="eastAsia"/>
                <w:szCs w:val="21"/>
              </w:rPr>
              <w:t>职业病体检：进行职业病体检</w:t>
            </w:r>
            <w:r>
              <w:rPr>
                <w:rFonts w:hint="eastAsia"/>
                <w:szCs w:val="21"/>
                <w:lang w:eastAsia="zh-CN"/>
              </w:rPr>
              <w:t>，</w:t>
            </w:r>
            <w:r>
              <w:rPr>
                <w:rFonts w:hint="eastAsia"/>
                <w:szCs w:val="21"/>
                <w:lang w:val="en-US" w:eastAsia="zh-CN"/>
              </w:rPr>
              <w:t>查体检报告：</w:t>
            </w:r>
          </w:p>
          <w:p>
            <w:pPr>
              <w:rPr>
                <w:szCs w:val="21"/>
              </w:rPr>
            </w:pPr>
            <w:r>
              <w:rPr>
                <w:rFonts w:hint="eastAsia" w:ascii="宋体" w:hAnsi="宋体"/>
                <w:szCs w:val="21"/>
              </w:rPr>
              <w:t>■</w:t>
            </w:r>
            <w:r>
              <w:rPr>
                <w:rFonts w:hint="eastAsia"/>
                <w:szCs w:val="21"/>
              </w:rPr>
              <w:t>机械伤害：有医药箱（创可贴、医用酒精、碘伏、十滴水、藿香正气胶囊、京万红）；</w:t>
            </w:r>
          </w:p>
          <w:p>
            <w:pPr>
              <w:rPr>
                <w:szCs w:val="21"/>
              </w:rPr>
            </w:pPr>
            <w:r>
              <w:rPr>
                <w:rFonts w:hint="eastAsia" w:ascii="宋体" w:hAnsi="宋体"/>
                <w:szCs w:val="21"/>
              </w:rPr>
              <w:t>■</w:t>
            </w:r>
            <w:r>
              <w:rPr>
                <w:rFonts w:hint="eastAsia"/>
                <w:szCs w:val="21"/>
              </w:rPr>
              <w:t>触电：有过流保护器；全公司使用220V的电压；无任何配电柜；</w:t>
            </w:r>
          </w:p>
          <w:p>
            <w:pPr>
              <w:rPr>
                <w:szCs w:val="21"/>
              </w:rPr>
            </w:pPr>
            <w:r>
              <w:rPr>
                <w:rFonts w:hint="eastAsia" w:ascii="宋体" w:hAnsi="宋体"/>
                <w:szCs w:val="21"/>
              </w:rPr>
              <w:t>■安全用电：不随便拉电线，不随便使用大功率电器；</w:t>
            </w:r>
          </w:p>
          <w:p>
            <w:pPr>
              <w:rPr>
                <w:rFonts w:hint="eastAsia"/>
                <w:szCs w:val="21"/>
              </w:rPr>
            </w:pPr>
            <w:r>
              <w:rPr>
                <w:rFonts w:hint="eastAsia" w:ascii="宋体" w:hAnsi="宋体"/>
                <w:szCs w:val="21"/>
              </w:rPr>
              <w:t>■消防：只有消防栓、灭火器（干粉、水基）；</w:t>
            </w:r>
            <w:r>
              <w:rPr>
                <w:color w:val="FF0000"/>
                <w:szCs w:val="21"/>
              </w:rPr>
              <w:t xml:space="preserve"> </w:t>
            </w:r>
          </w:p>
          <w:p>
            <w:pPr>
              <w:pStyle w:val="2"/>
              <w:rPr>
                <w:rFonts w:hint="eastAsia" w:ascii="宋体" w:hAnsi="宋体" w:cs="宋体"/>
                <w:szCs w:val="21"/>
                <w:lang w:val="en-US" w:eastAsia="zh-CN"/>
              </w:rPr>
            </w:pPr>
            <w:r>
              <w:rPr>
                <w:rFonts w:hint="eastAsia" w:ascii="宋体" w:hAnsi="宋体" w:cs="宋体"/>
                <w:szCs w:val="21"/>
                <w:lang w:val="en-US" w:eastAsia="zh-CN"/>
              </w:rPr>
              <w:t>针对职业健康安全目标，企业制定了响应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rPr>
                <w:rFonts w:hint="eastAsia" w:ascii="宋体" w:hAnsi="宋体" w:cs="宋体"/>
                <w:sz w:val="21"/>
                <w:szCs w:val="21"/>
              </w:rPr>
            </w:pP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资源</w:t>
            </w:r>
          </w:p>
        </w:tc>
        <w:tc>
          <w:tcPr>
            <w:tcW w:w="960" w:type="dxa"/>
            <w:vAlign w:val="top"/>
          </w:tcPr>
          <w:p>
            <w:pPr>
              <w:rPr>
                <w:color w:val="auto"/>
                <w:sz w:val="21"/>
                <w:szCs w:val="21"/>
              </w:rPr>
            </w:pPr>
            <w:r>
              <w:rPr>
                <w:rFonts w:hint="eastAsia"/>
                <w:sz w:val="21"/>
                <w:szCs w:val="21"/>
                <w:lang w:val="en-US" w:eastAsia="zh-CN"/>
              </w:rPr>
              <w:t>O</w:t>
            </w:r>
            <w:r>
              <w:rPr>
                <w:rFonts w:hint="eastAsia"/>
                <w:sz w:val="21"/>
                <w:szCs w:val="21"/>
              </w:rPr>
              <w:t>：7.1</w:t>
            </w:r>
          </w:p>
        </w:tc>
        <w:tc>
          <w:tcPr>
            <w:tcW w:w="10759" w:type="dxa"/>
            <w:vAlign w:val="top"/>
          </w:tcPr>
          <w:p>
            <w:pPr>
              <w:rPr>
                <w:rFonts w:hint="eastAsia"/>
                <w:color w:val="auto"/>
                <w:szCs w:val="21"/>
                <w:lang w:val="en-US" w:eastAsia="zh-CN"/>
              </w:rPr>
            </w:pPr>
            <w:r>
              <w:rPr>
                <w:rFonts w:hint="eastAsia"/>
                <w:color w:val="auto"/>
                <w:szCs w:val="21"/>
                <w:lang w:val="en-US" w:eastAsia="zh-CN"/>
              </w:rPr>
              <w:t xml:space="preserve">和最高管理层确定并提供所需的资源，以建立、实施、保持和持续改进职业健康安全管理体系。 </w:t>
            </w:r>
          </w:p>
          <w:p>
            <w:pPr>
              <w:numPr>
                <w:ilvl w:val="0"/>
                <w:numId w:val="1"/>
              </w:numPr>
              <w:rPr>
                <w:rFonts w:hint="eastAsia"/>
                <w:color w:val="auto"/>
                <w:szCs w:val="21"/>
                <w:lang w:val="en-US" w:eastAsia="zh-CN"/>
              </w:rPr>
            </w:pPr>
            <w:r>
              <w:rPr>
                <w:rFonts w:hint="eastAsia"/>
                <w:color w:val="auto"/>
                <w:szCs w:val="21"/>
                <w:lang w:val="en-US" w:eastAsia="zh-CN"/>
              </w:rPr>
              <w:t>现有内部资源的能力；</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建筑面积</w:t>
            </w:r>
            <w:r>
              <w:rPr>
                <w:rFonts w:hint="eastAsia"/>
                <w:color w:val="auto"/>
                <w:u w:val="single"/>
                <w:vertAlign w:val="baseline"/>
                <w:lang w:val="en-US" w:eastAsia="zh-CN"/>
              </w:rPr>
              <w:t>1000</w:t>
            </w:r>
            <w:r>
              <w:rPr>
                <w:rFonts w:hint="eastAsia"/>
                <w:color w:val="auto"/>
                <w:vertAlign w:val="baseline"/>
                <w:lang w:val="en-US" w:eastAsia="zh-CN"/>
              </w:rPr>
              <w:t>平方米；</w:t>
            </w:r>
          </w:p>
          <w:p>
            <w:pPr>
              <w:pStyle w:val="2"/>
              <w:rPr>
                <w:rFonts w:hint="default"/>
                <w:lang w:val="en-US" w:eastAsia="zh-CN"/>
              </w:rPr>
            </w:pPr>
            <w:r>
              <w:rPr>
                <w:rFonts w:hint="eastAsia"/>
                <w:color w:val="auto"/>
                <w:vertAlign w:val="baseline"/>
                <w:lang w:val="en-US" w:eastAsia="zh-CN"/>
              </w:rPr>
              <w:t>提供了租赁合同，在有效期内</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ascii="宋体" w:hAnsi="宋体" w:cs="宋体"/>
                <w:color w:val="auto"/>
                <w:szCs w:val="21"/>
              </w:rPr>
              <w:t>查公司配备了必要的人力资源，基础设施(</w:t>
            </w:r>
            <w:r>
              <w:rPr>
                <w:rFonts w:hint="eastAsia" w:ascii="宋体" w:hAnsi="宋体" w:cs="宋体"/>
                <w:color w:val="auto"/>
                <w:szCs w:val="21"/>
                <w:lang w:val="en-US" w:eastAsia="zh-CN"/>
              </w:rPr>
              <w:t>劳保用品</w:t>
            </w:r>
            <w:r>
              <w:rPr>
                <w:rFonts w:hint="eastAsia" w:ascii="宋体" w:hAnsi="宋体" w:cs="宋体"/>
                <w:color w:val="auto"/>
                <w:szCs w:val="21"/>
              </w:rPr>
              <w:t>；生产设备、办公设备、车间、仓库等)，规范文件、资金等必要的资源，能够持续满足顾客需求和管理体系改进的需要。</w:t>
            </w:r>
          </w:p>
          <w:p>
            <w:pPr>
              <w:keepNext w:val="0"/>
              <w:keepLines w:val="0"/>
              <w:widowControl w:val="0"/>
              <w:numPr>
                <w:ilvl w:val="0"/>
                <w:numId w:val="0"/>
              </w:numPr>
              <w:suppressLineNumbers w:val="0"/>
              <w:spacing w:before="0" w:beforeAutospacing="0" w:after="0" w:afterAutospacing="0"/>
              <w:ind w:left="0" w:right="0"/>
              <w:jc w:val="both"/>
              <w:rPr>
                <w:rFonts w:hint="default"/>
                <w:color w:val="auto"/>
                <w:u w:val="single"/>
                <w:vertAlign w:val="baseline"/>
                <w:lang w:val="en-US" w:eastAsia="zh-CN"/>
              </w:rPr>
            </w:pPr>
            <w:r>
              <w:rPr>
                <w:rFonts w:hint="eastAsia"/>
                <w:color w:val="auto"/>
                <w:vertAlign w:val="baseline"/>
                <w:lang w:val="en-US" w:eastAsia="zh-CN"/>
              </w:rPr>
              <w:t>主要生产设备有：</w:t>
            </w:r>
            <w:r>
              <w:rPr>
                <w:rFonts w:hint="eastAsia"/>
                <w:color w:val="auto"/>
                <w:u w:val="single"/>
                <w:vertAlign w:val="baseline"/>
                <w:lang w:val="en-US" w:eastAsia="zh-CN"/>
              </w:rPr>
              <w:t xml:space="preserve"> </w:t>
            </w:r>
            <w:r>
              <w:rPr>
                <w:rFonts w:hint="eastAsia"/>
                <w:color w:val="auto"/>
                <w:u w:val="single"/>
                <w:lang w:val="en-US" w:eastAsia="zh-CN"/>
              </w:rPr>
              <w:t>千分尺，卡尺，卷尺，空气压缩机，加式气体保护焊机，数控冲孔切断机床</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主要消防设备有：</w:t>
            </w:r>
            <w:r>
              <w:rPr>
                <w:rFonts w:hint="eastAsia"/>
                <w:color w:val="auto"/>
                <w:u w:val="single"/>
                <w:vertAlign w:val="baseline"/>
                <w:lang w:val="en-US" w:eastAsia="zh-CN"/>
              </w:rPr>
              <w:t xml:space="preserve">  灭火器、消防栓          （列举2~4种）</w:t>
            </w:r>
          </w:p>
          <w:p>
            <w:pPr>
              <w:rPr>
                <w:rFonts w:hint="eastAsia"/>
                <w:sz w:val="21"/>
                <w:szCs w:val="21"/>
                <w:lang w:val="en-US" w:eastAsia="zh-CN"/>
              </w:rPr>
            </w:pPr>
            <w:r>
              <w:rPr>
                <w:rFonts w:hint="eastAsia" w:ascii="Times New Roman" w:hAnsi="Times New Roman" w:eastAsia="宋体" w:cs="Times New Roman"/>
                <w:bCs/>
                <w:color w:val="auto"/>
                <w:spacing w:val="10"/>
                <w:kern w:val="2"/>
                <w:sz w:val="21"/>
                <w:szCs w:val="22"/>
                <w:vertAlign w:val="baseline"/>
                <w:lang w:val="en-US" w:eastAsia="zh-CN" w:bidi="ar-SA"/>
              </w:rPr>
              <w:t>有2.8吨行车</w:t>
            </w:r>
            <w:r>
              <w:rPr>
                <w:rFonts w:hint="eastAsia" w:cs="Times New Roman"/>
                <w:bCs/>
                <w:color w:val="auto"/>
                <w:spacing w:val="10"/>
                <w:kern w:val="2"/>
                <w:sz w:val="21"/>
                <w:szCs w:val="22"/>
                <w:vertAlign w:val="baseline"/>
                <w:lang w:val="en-US" w:eastAsia="zh-CN" w:bidi="ar-SA"/>
              </w:rPr>
              <w:t>，定期进行自检，查自检记录，完善有效。</w:t>
            </w:r>
            <w:r>
              <w:rPr>
                <w:rFonts w:hint="eastAsia"/>
                <w:sz w:val="21"/>
                <w:szCs w:val="21"/>
                <w:lang w:val="en-US" w:eastAsia="zh-CN"/>
              </w:rPr>
              <w:t>二阶段详查。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生产部</w:t>
            </w:r>
            <w:r>
              <w:rPr>
                <w:rFonts w:hint="eastAsia" w:asciiTheme="minorEastAsia" w:hAnsiTheme="minorEastAsia" w:eastAsiaTheme="minorEastAsia" w:cstheme="minorEastAsia"/>
                <w:color w:val="0000FF"/>
                <w:sz w:val="21"/>
                <w:szCs w:val="21"/>
                <w:lang w:val="en-US" w:eastAsia="zh-CN"/>
              </w:rPr>
              <w:t>有2</w:t>
            </w:r>
            <w:r>
              <w:rPr>
                <w:rFonts w:hint="eastAsia" w:asciiTheme="minorEastAsia" w:hAnsiTheme="minorEastAsia" w:eastAsiaTheme="minorEastAsia" w:cstheme="minorEastAsia"/>
                <w:color w:val="0000FF"/>
                <w:sz w:val="21"/>
                <w:szCs w:val="21"/>
              </w:rPr>
              <w:t>个车间，一个仓库</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车间宽敞明亮，干净整洁，分割区划分得当，通道畅通。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车间内各种规格、型号产品摆放整齐，工序间工位器具设置较合理。</w:t>
            </w:r>
          </w:p>
          <w:p>
            <w:pPr>
              <w:rPr>
                <w:rFonts w:hint="eastAsia" w:ascii="宋体" w:hAnsi="宋体" w:cs="宋体"/>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Align w:val="top"/>
          </w:tcPr>
          <w:p>
            <w:pPr>
              <w:spacing w:line="400" w:lineRule="exact"/>
              <w:rPr>
                <w:rFonts w:hint="eastAsia" w:eastAsia="宋体"/>
                <w:sz w:val="21"/>
                <w:szCs w:val="21"/>
                <w:lang w:val="en-US" w:eastAsia="zh-CN"/>
              </w:rPr>
            </w:pPr>
            <w:bookmarkStart w:id="0" w:name="_GoBack"/>
            <w:bookmarkEnd w:id="0"/>
            <w:r>
              <w:rPr>
                <w:rFonts w:hint="eastAsia"/>
                <w:sz w:val="21"/>
                <w:szCs w:val="21"/>
              </w:rPr>
              <w:t>现场</w:t>
            </w:r>
            <w:r>
              <w:rPr>
                <w:rFonts w:hint="eastAsia"/>
                <w:sz w:val="21"/>
                <w:szCs w:val="21"/>
                <w:lang w:val="en-US" w:eastAsia="zh-CN"/>
              </w:rPr>
              <w:t>观察</w:t>
            </w:r>
          </w:p>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公司总部</w:t>
            </w:r>
            <w:r>
              <w:rPr>
                <w:rFonts w:hint="eastAsia"/>
                <w:sz w:val="21"/>
                <w:szCs w:val="21"/>
              </w:rPr>
              <w:t>办公</w:t>
            </w:r>
            <w:r>
              <w:rPr>
                <w:rFonts w:hint="eastAsia"/>
                <w:sz w:val="21"/>
                <w:szCs w:val="21"/>
                <w:lang w:val="en-US" w:eastAsia="zh-CN"/>
              </w:rPr>
              <w:t>划分各部门区域</w:t>
            </w:r>
            <w:r>
              <w:rPr>
                <w:rFonts w:hint="eastAsia"/>
                <w:sz w:val="21"/>
                <w:szCs w:val="21"/>
              </w:rPr>
              <w:t>，工作环境良好</w:t>
            </w:r>
            <w:r>
              <w:rPr>
                <w:rFonts w:hint="eastAsia" w:cs="宋体"/>
                <w:sz w:val="21"/>
                <w:szCs w:val="21"/>
              </w:rPr>
              <w:t>。</w:t>
            </w:r>
            <w:r>
              <w:rPr>
                <w:rFonts w:hint="eastAsia"/>
                <w:sz w:val="21"/>
                <w:szCs w:val="21"/>
                <w:lang w:val="en-GB"/>
              </w:rPr>
              <w:t>查看</w:t>
            </w:r>
            <w:r>
              <w:rPr>
                <w:rFonts w:hint="eastAsia"/>
                <w:sz w:val="21"/>
                <w:szCs w:val="21"/>
                <w:lang w:val="en-US" w:eastAsia="zh-CN"/>
              </w:rPr>
              <w:t>车间</w:t>
            </w:r>
            <w:r>
              <w:rPr>
                <w:rFonts w:hint="eastAsia"/>
                <w:sz w:val="21"/>
                <w:szCs w:val="21"/>
                <w:lang w:val="en-GB"/>
              </w:rPr>
              <w:t>设备摆放整齐有序，相应物品摆放在指定区域，现场工作环境通风良好，卫生干净，</w:t>
            </w:r>
            <w:r>
              <w:rPr>
                <w:rFonts w:hint="eastAsia"/>
                <w:sz w:val="21"/>
                <w:szCs w:val="21"/>
                <w:lang w:val="en-US" w:eastAsia="zh-CN"/>
              </w:rPr>
              <w:t>基本符合</w:t>
            </w:r>
            <w:r>
              <w:rPr>
                <w:rFonts w:hint="eastAsia"/>
                <w:sz w:val="21"/>
                <w:szCs w:val="21"/>
                <w:lang w:val="en-GB"/>
              </w:rPr>
              <w:t>要求</w:t>
            </w:r>
            <w:r>
              <w:rPr>
                <w:rFonts w:hint="eastAsia"/>
                <w:sz w:val="21"/>
                <w:szCs w:val="21"/>
                <w:lang w:val="en-GB" w:eastAsia="zh-CN"/>
              </w:rPr>
              <w:t>。</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国家/地方抽查、顾客满意、相关方投诉处理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验证资质</w:t>
            </w:r>
          </w:p>
        </w:tc>
        <w:tc>
          <w:tcPr>
            <w:tcW w:w="0" w:type="auto"/>
            <w:vAlign w:val="top"/>
          </w:tcPr>
          <w:p>
            <w:pPr>
              <w:rPr>
                <w:rFonts w:ascii="Times New Roman" w:hAnsi="Times New Roman" w:eastAsia="宋体" w:cs="Times New Roman"/>
                <w:color w:val="auto"/>
                <w:kern w:val="2"/>
                <w:sz w:val="21"/>
                <w:szCs w:val="21"/>
                <w:lang w:val="en-US" w:eastAsia="zh-CN" w:bidi="ar-SA"/>
              </w:rPr>
            </w:pPr>
          </w:p>
        </w:tc>
        <w:tc>
          <w:tcPr>
            <w:tcW w:w="0" w:type="auto"/>
            <w:vAlign w:val="top"/>
          </w:tcPr>
          <w:p>
            <w:pPr>
              <w:rPr>
                <w:sz w:val="21"/>
                <w:szCs w:val="21"/>
              </w:rPr>
            </w:pPr>
            <w:r>
              <w:rPr>
                <w:rFonts w:hint="eastAsia"/>
                <w:sz w:val="21"/>
                <w:szCs w:val="21"/>
              </w:rPr>
              <w:t>自公司成立以来，未受到上级主管部门有关质量、环境、职业健康安全的行政处罚。未发生相关方的投诉。</w:t>
            </w:r>
          </w:p>
          <w:p>
            <w:pPr>
              <w:rPr>
                <w:rFonts w:hint="eastAsia"/>
                <w:sz w:val="21"/>
                <w:szCs w:val="21"/>
              </w:rPr>
            </w:pPr>
            <w:r>
              <w:rPr>
                <w:rFonts w:hint="eastAsia"/>
                <w:sz w:val="21"/>
                <w:szCs w:val="21"/>
              </w:rPr>
              <w:t>暂时没有国家/地方抽查情况。</w:t>
            </w:r>
          </w:p>
          <w:p>
            <w:pPr>
              <w:pStyle w:val="2"/>
              <w:rPr>
                <w:rFonts w:hint="eastAsia" w:ascii="Times New Roman" w:hAnsi="Times New Roman" w:eastAsia="宋体" w:cs="Times New Roman"/>
                <w:bCs/>
                <w:spacing w:val="10"/>
                <w:kern w:val="2"/>
                <w:sz w:val="21"/>
                <w:szCs w:val="21"/>
                <w:lang w:val="en-US" w:eastAsia="zh-CN" w:bidi="ar-SA"/>
              </w:rPr>
            </w:pPr>
            <w:r>
              <w:rPr>
                <w:rFonts w:hint="eastAsia" w:ascii="宋体" w:hAnsi="宋体" w:cs="宋体"/>
                <w:sz w:val="21"/>
                <w:szCs w:val="21"/>
              </w:rPr>
              <w:t>提供了组织营业执照均为有效。见附件。</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符合</w:t>
            </w: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A11D9"/>
    <w:rsid w:val="0ABA7956"/>
    <w:rsid w:val="0ADC0396"/>
    <w:rsid w:val="0AFB2E4F"/>
    <w:rsid w:val="0E7F3584"/>
    <w:rsid w:val="0FCD17B2"/>
    <w:rsid w:val="11001F7E"/>
    <w:rsid w:val="1B376328"/>
    <w:rsid w:val="1E2B2415"/>
    <w:rsid w:val="206C68B0"/>
    <w:rsid w:val="25B566E1"/>
    <w:rsid w:val="298B2FBC"/>
    <w:rsid w:val="29DA0D03"/>
    <w:rsid w:val="2A045F9A"/>
    <w:rsid w:val="2B8522E5"/>
    <w:rsid w:val="366579C9"/>
    <w:rsid w:val="38DC61EB"/>
    <w:rsid w:val="39A84253"/>
    <w:rsid w:val="3D5306DA"/>
    <w:rsid w:val="40D15031"/>
    <w:rsid w:val="43F01A65"/>
    <w:rsid w:val="45790587"/>
    <w:rsid w:val="4AE60DE8"/>
    <w:rsid w:val="4B9D072E"/>
    <w:rsid w:val="4D140172"/>
    <w:rsid w:val="4E991885"/>
    <w:rsid w:val="4F9413A0"/>
    <w:rsid w:val="51BA3219"/>
    <w:rsid w:val="57570889"/>
    <w:rsid w:val="57A855D6"/>
    <w:rsid w:val="5AD052D2"/>
    <w:rsid w:val="5CA6609C"/>
    <w:rsid w:val="5EA316FA"/>
    <w:rsid w:val="63F30781"/>
    <w:rsid w:val="64FD2850"/>
    <w:rsid w:val="6B2238EB"/>
    <w:rsid w:val="6B242607"/>
    <w:rsid w:val="6F037DDE"/>
    <w:rsid w:val="72FC5C2D"/>
    <w:rsid w:val="78045072"/>
    <w:rsid w:val="7CD02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2020-04-10T07:29:53Z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