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安徽鑫梁模架科技有限公司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Q：17.06.01;17.12.03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O：17.06.01;17.12.03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tabs>
                <w:tab w:val="left" w:pos="578"/>
              </w:tabs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生产工艺流程：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圆钢、角钢等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→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切割下料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→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→矫直→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喷涂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→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装配调试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→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最终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</w:rPr>
              <w:t>检验→交付；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关键过程：焊接、装配调试。   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相关文件：“焊接工艺（作业指导书）”和安装调试工艺、安装/拆卸技术规范。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需确认过程：焊接、喷涂   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相关文件：“焊接工艺（作业指导书）”和“焊接、喷涂过程确认记录”</w:t>
            </w:r>
          </w:p>
          <w:p>
            <w:pPr>
              <w:spacing w:line="30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外包过程：喷涂    见：外包协议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center" w:pos="4104"/>
              </w:tabs>
              <w:spacing w:line="360" w:lineRule="auto"/>
              <w:ind w:firstLine="496" w:firstLineChars="247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查看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《生产和服务的提供控制程序》。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</w:p>
          <w:p>
            <w:pPr>
              <w:spacing w:line="360" w:lineRule="auto"/>
              <w:ind w:firstLine="308" w:firstLineChars="147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查看受控条件：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1) 组织一般通过顾客订单要求、国标等获得产品信息，车间主要通过下发的购销合同获得产品信息，然后下发生产通知单。</w:t>
            </w:r>
          </w:p>
          <w:p>
            <w:pPr>
              <w:spacing w:line="360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2）提供和配置了钢卷尺、卡尺等监视和测量设备。</w:t>
            </w:r>
          </w:p>
          <w:p>
            <w:pPr>
              <w:spacing w:line="360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3）检验活动有原材料检验、过程检验、成品的外观、规格尺寸检验，能够验证过程和产品是否符合接收准则。</w:t>
            </w:r>
          </w:p>
          <w:p>
            <w:pPr>
              <w:spacing w:line="360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4）提供和配备了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焊机、卧式金属带锯床、数控冲孔切断机床、液压板料折弯机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等设备，设备运转正常，维护保养良好，配置适宜于生产工艺过程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</w:t>
            </w:r>
          </w:p>
          <w:p>
            <w:pPr>
              <w:spacing w:line="360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5）生产操作人员和技术人员、管理人员以及质检员都经过了培训，能力满足要求，特种作业人员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:焊工、电工等，持证上岗。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6）公司确定焊接和喷涂过程为需确认的过程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308" w:firstLineChars="147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7）通过岗前培训和日常技能提升培训教育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308" w:firstLineChars="147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8)所有的产品(从原材料至成品)都必须经检验合格后方可转序、入库和交付。质量部负责产品的检验和放行，产品经过检验合格后方可放行和交付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二、车间工作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管控基本符合</w:t>
            </w:r>
          </w:p>
          <w:p>
            <w:pPr>
              <w:tabs>
                <w:tab w:val="left" w:pos="453"/>
              </w:tabs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喷涂、烘烤工序：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外包，见“表面处理（喷涂）外包协议”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提供了职业安全健康管理体系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《危险源辨识及风险评价表》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，内容有：活动场所、危险类别、危害类别、危险发生的可能性L、损失后果C、频繁程度E、控制措施等。识别出项目部危险源有：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触电、火灾、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意外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伤害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等。优先控制风险采用“LEC”方法进行评价。提供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控制风险清单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，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不可接受风险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火灾；触电；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职业健康；高空坠物、机械伤害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GB" w:eastAsia="zh-CN"/>
              </w:rPr>
              <w:t>制定了《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应急准备和响应控制程序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GB" w:eastAsia="zh-CN"/>
              </w:rPr>
              <w:t>》，包含有事件级别及不同级别事件的处理程序、事件处理组织机构及职责分工、通用及特殊处理程序、各岗位要求等。具有可操作性。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查到《安全生产应急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预案》，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成立应急指挥小组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GB" w:eastAsia="zh-CN"/>
              </w:rPr>
              <w:t>应急预案不重要修订。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自体系运行以来尚未发生紧急情况。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查看《应急预案演练记录》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记录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张伟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 xml:space="preserve">  审核：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丁荟荟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 xml:space="preserve"> 日期：2019年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日，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进行“火灾消防应急预案演练”，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演练程序：报警、警戒、疏散、急救预演、器材使用。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另有《触电事故应急演练记录》，《高空坠落事故演练记录》，《机械伤害事故应急演练记录》演练成功进行，应急预案有效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XL /QES02-2019-19《合规性评价控制程序》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有：《职业健康安全法律法规清单》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有：《职业健康安全法律法规合规性评价》</w:t>
            </w:r>
          </w:p>
          <w:p>
            <w:pPr>
              <w:pStyle w:val="2"/>
              <w:rPr>
                <w:rFonts w:hint="eastAsia" w:ascii="Arial" w:hAnsi="Arial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查有《</w:t>
            </w:r>
            <w:r>
              <w:rPr>
                <w:rFonts w:ascii="Arial" w:hAnsi="Arial" w:cs="Arial"/>
                <w:kern w:val="0"/>
                <w:sz w:val="21"/>
                <w:szCs w:val="21"/>
              </w:rPr>
              <w:t>中华人民共和国安全生产法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eastAsia="zh-CN"/>
              </w:rPr>
              <w:t>》，《</w:t>
            </w:r>
            <w:r>
              <w:rPr>
                <w:rFonts w:ascii="Arial" w:hAnsi="Arial" w:cs="Arial"/>
                <w:kern w:val="0"/>
                <w:sz w:val="21"/>
                <w:szCs w:val="21"/>
              </w:rPr>
              <w:t>中华人民共和国职业病防治法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eastAsia="zh-CN"/>
              </w:rPr>
              <w:t>》，《安徽省</w:t>
            </w:r>
            <w:r>
              <w:rPr>
                <w:rFonts w:ascii="Arial" w:hAnsi="Arial" w:cs="Arial"/>
                <w:kern w:val="0"/>
                <w:sz w:val="21"/>
                <w:szCs w:val="21"/>
              </w:rPr>
              <w:t>安全生产条例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pStyle w:val="2"/>
              <w:rPr>
                <w:rFonts w:hint="default" w:ascii="Arial" w:hAnsi="Arial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企业标准</w:t>
            </w:r>
          </w:p>
          <w:p>
            <w:pPr>
              <w:pStyle w:val="2"/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等等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  <w:lang w:val="en-US" w:eastAsia="zh-CN"/>
              </w:rPr>
              <w:t>评价结果：无不符合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有，见附件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2020年4月10</w:t>
      </w:r>
      <w:bookmarkStart w:id="5" w:name="_GoBack"/>
      <w:bookmarkEnd w:id="5"/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6761FF"/>
    <w:rsid w:val="174777BB"/>
    <w:rsid w:val="29883151"/>
    <w:rsid w:val="2BE61190"/>
    <w:rsid w:val="3DBE78D8"/>
    <w:rsid w:val="410C502B"/>
    <w:rsid w:val="42E42013"/>
    <w:rsid w:val="48C92925"/>
    <w:rsid w:val="4DE20A55"/>
    <w:rsid w:val="4EC158A3"/>
    <w:rsid w:val="5E6F63F4"/>
    <w:rsid w:val="782F7E0D"/>
    <w:rsid w:val="79C74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</cp:lastModifiedBy>
  <dcterms:modified xsi:type="dcterms:W3CDTF">2020-04-12T04:06:55Z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