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rFonts w:hint="eastAsia" w:eastAsia="楷体"/>
          <w:color w:val="000000"/>
          <w:lang w:eastAsia="zh-CN"/>
        </w:rPr>
      </w:pPr>
      <w:r>
        <w:rPr>
          <w:rFonts w:hint="eastAsia" w:ascii="楷体" w:hAnsi="楷体" w:eastAsia="楷体"/>
          <w:color w:val="000000"/>
          <w:sz w:val="28"/>
          <w:szCs w:val="28"/>
        </w:rPr>
        <w:t>合同编号：</w:t>
      </w:r>
      <w:r>
        <w:rPr>
          <w:rFonts w:hint="eastAsia" w:eastAsia="楷体"/>
          <w:color w:val="000000"/>
          <w:lang w:eastAsia="zh-CN"/>
        </w:rPr>
        <w:t>0100-2020-Q</w:t>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淮北思尔德电机有限责任公司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张磊</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韦春喜</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实习审核员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陈驰</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rFonts w:hint="eastAsia" w:eastAsia="宋体"/>
                <w:b/>
                <w:color w:val="000000"/>
                <w:sz w:val="20"/>
                <w:szCs w:val="20"/>
                <w:lang w:eastAsia="zh-CN"/>
              </w:rPr>
            </w:pPr>
            <w:r>
              <w:rPr>
                <w:b/>
                <w:color w:val="000000"/>
                <w:sz w:val="20"/>
                <w:szCs w:val="20"/>
              </w:rPr>
              <w:t>19.09.0</w:t>
            </w:r>
            <w:r>
              <w:rPr>
                <w:rFonts w:hint="eastAsia"/>
                <w:b/>
                <w:color w:val="00000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质量管理体系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4" w:name="Q勾选Add1"/>
      <w:r>
        <w:rPr>
          <w:rFonts w:hint="eastAsia" w:ascii="宋体" w:hAnsi="宋体"/>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6" w:name="S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hint="eastAsia" w:ascii="宋体" w:eastAsia="宋体"/>
                <w:b/>
                <w:color w:val="000000"/>
                <w:sz w:val="20"/>
                <w:szCs w:val="20"/>
                <w:lang w:eastAsia="zh-CN"/>
              </w:rPr>
            </w:pPr>
            <w:bookmarkStart w:id="7" w:name="组织名称"/>
            <w:r>
              <w:rPr>
                <w:rFonts w:hint="eastAsia" w:ascii="宋体" w:eastAsia="宋体"/>
                <w:b/>
                <w:color w:val="000000"/>
                <w:sz w:val="20"/>
                <w:szCs w:val="20"/>
                <w:lang w:eastAsia="zh-CN"/>
              </w:rPr>
              <w:t>淮北思尔德电机有限责任公司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8" w:name="注册地址"/>
            <w:r>
              <w:rPr>
                <w:rFonts w:ascii="宋体"/>
                <w:b/>
                <w:color w:val="000000"/>
                <w:sz w:val="20"/>
                <w:szCs w:val="20"/>
              </w:rPr>
              <w:t>淮北经济开发区新区梧桐大道东长城创业园7号楼</w:t>
            </w:r>
            <w:bookmarkEnd w:id="8"/>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9" w:name="注册邮编"/>
            <w:r>
              <w:rPr>
                <w:rFonts w:ascii="宋体"/>
                <w:b/>
                <w:color w:val="000000"/>
                <w:sz w:val="20"/>
                <w:szCs w:val="20"/>
              </w:rPr>
              <w:t>235025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0" w:name="经营地址"/>
            <w:bookmarkEnd w:id="10"/>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1" w:name="经营邮编"/>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淮北经济开发区新区梧桐大道东长城创业园7号楼</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235025</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范庆流</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13815312561</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邓国凤</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范庆流</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cs="宋体"/>
                <w:color w:val="000000"/>
                <w:kern w:val="0"/>
                <w:szCs w:val="21"/>
              </w:rPr>
              <w:t>智能开关磁阻电机研发、制造（3C认证范围内除外）</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hint="eastAsia" w:ascii="宋体" w:eastAsia="宋体"/>
                <w:b/>
                <w:color w:val="000000"/>
                <w:sz w:val="20"/>
                <w:szCs w:val="20"/>
                <w:lang w:eastAsia="zh-CN"/>
              </w:rPr>
            </w:pPr>
            <w:bookmarkStart w:id="21" w:name="专业代码"/>
            <w:r>
              <w:rPr>
                <w:rFonts w:ascii="宋体"/>
                <w:b/>
                <w:color w:val="000000"/>
                <w:sz w:val="20"/>
                <w:szCs w:val="20"/>
              </w:rPr>
              <w:t>19.09.0</w:t>
            </w:r>
            <w:bookmarkEnd w:id="21"/>
            <w:r>
              <w:rPr>
                <w:rFonts w:hint="eastAsia" w:ascii="宋体"/>
                <w:b/>
                <w:color w:val="00000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ascii="宋体" w:hAnsi="宋体" w:cs="宋体"/>
                <w:color w:val="000000"/>
                <w:kern w:val="0"/>
                <w:szCs w:val="21"/>
              </w:rPr>
              <w:t>智能开关磁阻电机研发、制造（3C认证范围内除外）</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生产部/综合部/质管部/供销部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vAlign w:val="top"/>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hAnsi="宋体"/>
                <w:b/>
                <w:bCs/>
                <w:color w:val="000000"/>
                <w:sz w:val="20"/>
                <w:szCs w:val="20"/>
              </w:rPr>
              <w:t>——不适用</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leftChars="0" w:hanging="360" w:firstLineChars="0"/>
              <w:rPr>
                <w:rFonts w:ascii="宋体"/>
                <w:color w:val="000000"/>
                <w:sz w:val="20"/>
                <w:szCs w:val="20"/>
              </w:rPr>
            </w:pPr>
            <w:r>
              <w:rPr>
                <w:rFonts w:hint="eastAsia" w:ascii="宋体" w:hAnsi="宋体"/>
                <w:b/>
                <w:bCs/>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w:t>
            </w:r>
            <w:r>
              <w:rPr>
                <w:rFonts w:ascii="宋体" w:hAnsi="宋体"/>
                <w:color w:val="auto"/>
                <w:spacing w:val="-10"/>
                <w:sz w:val="20"/>
                <w:szCs w:val="20"/>
              </w:rPr>
              <w:t>QMS</w:t>
            </w:r>
            <w:r>
              <w:rPr>
                <w:rFonts w:hint="eastAsia" w:ascii="宋体" w:hAnsi="宋体"/>
                <w:color w:val="auto"/>
                <w:spacing w:val="-10"/>
                <w:sz w:val="20"/>
                <w:szCs w:val="20"/>
              </w:rPr>
              <w:t>适用）</w:t>
            </w:r>
          </w:p>
        </w:tc>
        <w:tc>
          <w:tcPr>
            <w:tcW w:w="7427" w:type="dxa"/>
            <w:gridSpan w:val="3"/>
          </w:tcPr>
          <w:p>
            <w:pPr>
              <w:rPr>
                <w:rFonts w:ascii="宋体"/>
                <w:color w:val="auto"/>
                <w:spacing w:val="-10"/>
                <w:sz w:val="20"/>
                <w:szCs w:val="20"/>
              </w:rPr>
            </w:pPr>
            <w:r>
              <w:rPr>
                <w:rFonts w:hint="eastAsia" w:ascii="宋体" w:hAnsi="宋体"/>
                <w:color w:val="auto"/>
                <w:spacing w:val="-10"/>
                <w:sz w:val="20"/>
                <w:szCs w:val="20"/>
                <w:lang w:eastAsia="zh-CN"/>
              </w:rPr>
              <w:t>□</w:t>
            </w:r>
            <w:r>
              <w:rPr>
                <w:rFonts w:hint="eastAsia" w:ascii="宋体" w:hAnsi="宋体"/>
                <w:color w:val="auto"/>
                <w:spacing w:val="-10"/>
                <w:sz w:val="20"/>
                <w:szCs w:val="20"/>
              </w:rPr>
              <w:t>产品技术标准号：</w:t>
            </w:r>
            <w:r>
              <w:rPr>
                <w:rFonts w:hint="eastAsia" w:ascii="宋体" w:hAnsi="宋体"/>
                <w:color w:val="auto"/>
                <w:spacing w:val="-10"/>
                <w:sz w:val="20"/>
                <w:szCs w:val="20"/>
                <w:lang w:eastAsia="zh-CN"/>
              </w:rPr>
              <w:t>☑</w:t>
            </w: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auto"/>
                <w:sz w:val="20"/>
                <w:szCs w:val="20"/>
              </w:rPr>
            </w:pPr>
          </w:p>
        </w:tc>
        <w:tc>
          <w:tcPr>
            <w:tcW w:w="7427" w:type="dxa"/>
            <w:gridSpan w:val="3"/>
          </w:tcPr>
          <w:p>
            <w:pPr>
              <w:rPr>
                <w:rFonts w:ascii="宋体"/>
                <w:color w:val="auto"/>
                <w:spacing w:val="-10"/>
                <w:sz w:val="20"/>
                <w:szCs w:val="20"/>
              </w:rPr>
            </w:pPr>
            <w:r>
              <w:rPr>
                <w:rFonts w:hint="eastAsia" w:ascii="宋体" w:hAnsi="宋体"/>
                <w:color w:val="auto"/>
                <w:spacing w:val="-10"/>
                <w:sz w:val="20"/>
                <w:szCs w:val="20"/>
              </w:rPr>
              <w:t>现场是否有产品检验报告</w:t>
            </w:r>
            <w:r>
              <w:rPr>
                <w:rFonts w:hint="eastAsia" w:ascii="宋体" w:hAnsi="宋体"/>
                <w:color w:val="auto"/>
                <w:spacing w:val="-10"/>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auto"/>
                <w:spacing w:val="-10"/>
                <w:sz w:val="20"/>
                <w:szCs w:val="20"/>
              </w:rPr>
            </w:pPr>
          </w:p>
        </w:tc>
        <w:tc>
          <w:tcPr>
            <w:tcW w:w="7427" w:type="dxa"/>
            <w:gridSpan w:val="3"/>
          </w:tcPr>
          <w:p>
            <w:pPr>
              <w:rPr>
                <w:rFonts w:ascii="宋体"/>
                <w:color w:val="auto"/>
                <w:spacing w:val="-10"/>
                <w:sz w:val="20"/>
                <w:szCs w:val="20"/>
              </w:rPr>
            </w:pPr>
            <w:r>
              <w:rPr>
                <w:rFonts w:hint="eastAsia" w:ascii="宋体"/>
                <w:color w:val="auto"/>
                <w:sz w:val="20"/>
                <w:szCs w:val="20"/>
              </w:rPr>
              <w:t>是否需要型式试验</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lang w:eastAsia="zh-CN"/>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auto"/>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是否接受了行政主管部门的抽查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否，抽查结果</w:t>
            </w:r>
            <w:r>
              <w:rPr>
                <w:rFonts w:hint="eastAsia" w:ascii="宋体" w:hAnsi="宋体"/>
                <w:color w:val="auto"/>
                <w:spacing w:val="-10"/>
                <w:sz w:val="20"/>
                <w:szCs w:val="20"/>
              </w:rPr>
              <w:t>□</w:t>
            </w:r>
            <w:r>
              <w:rPr>
                <w:rFonts w:hint="eastAsia" w:ascii="宋体" w:hAnsi="宋体"/>
                <w:color w:val="auto"/>
                <w:sz w:val="20"/>
                <w:szCs w:val="20"/>
              </w:rPr>
              <w:t>合格</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是否列入当地政府黑名单</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auto"/>
              <w:jc w:val="left"/>
              <w:rPr>
                <w:rFonts w:hint="eastAsia"/>
              </w:rPr>
            </w:pPr>
            <w:r>
              <w:rPr>
                <w:rFonts w:hint="eastAsia"/>
                <w:lang w:val="en-US" w:eastAsia="zh-CN"/>
              </w:rPr>
              <w:t>智能开关磁阻电机生产工艺：绕线</w:t>
            </w:r>
            <w:r>
              <w:rPr>
                <w:rFonts w:hint="default" w:ascii="Arial" w:hAnsi="Arial" w:cs="Arial"/>
              </w:rPr>
              <w:t>→定子嵌线</w:t>
            </w:r>
            <w:r>
              <w:rPr>
                <w:rFonts w:hint="eastAsia" w:asciiTheme="minorEastAsia" w:hAnsiTheme="minorEastAsia" w:eastAsiaTheme="minorEastAsia" w:cstheme="minorEastAsia"/>
                <w:szCs w:val="21"/>
              </w:rPr>
              <w:t>★</w:t>
            </w:r>
            <w:r>
              <w:rPr>
                <w:rFonts w:hint="default" w:ascii="Arial" w:hAnsi="Arial" w:cs="Arial"/>
              </w:rPr>
              <w:t>→定子接线→定子浸漆→定子烘干→有绕组定子铁芯套机壳压→转子铁芯叠压→转子动平衡→总装→试验→喷漆→</w:t>
            </w:r>
            <w:r>
              <w:rPr>
                <w:rFonts w:hint="eastAsia"/>
              </w:rPr>
              <w:t>入库</w:t>
            </w:r>
          </w:p>
          <w:p/>
          <w:p>
            <w:pPr>
              <w:rPr>
                <w:rFonts w:ascii="宋体"/>
                <w:color w:val="000000"/>
                <w:sz w:val="20"/>
                <w:szCs w:val="20"/>
              </w:rPr>
            </w:pPr>
            <w:r>
              <w:rPr>
                <w:rFonts w:hint="eastAsia"/>
                <w:lang w:val="en-US" w:eastAsia="zh-CN"/>
              </w:rPr>
              <w:t>智能开关磁阻电机研发流程：</w:t>
            </w:r>
            <w:r>
              <w:rPr>
                <w:rFonts w:hint="eastAsia" w:asciiTheme="minorEastAsia" w:hAnsiTheme="minorEastAsia" w:eastAsiaTheme="minorEastAsia" w:cstheme="minorEastAsia"/>
                <w:szCs w:val="21"/>
              </w:rPr>
              <w:t>投标</w:t>
            </w:r>
            <w:r>
              <w:rPr>
                <w:rFonts w:hint="eastAsia" w:ascii="MS Mincho" w:hAnsi="MS Mincho" w:eastAsia="MS Mincho" w:cs="MS Mincho"/>
                <w:szCs w:val="21"/>
              </w:rPr>
              <w:t>➙</w:t>
            </w:r>
            <w:r>
              <w:rPr>
                <w:rFonts w:hint="eastAsia" w:cs="MS Mincho" w:asciiTheme="minorEastAsia" w:hAnsiTheme="minorEastAsia" w:eastAsiaTheme="minorEastAsia"/>
                <w:szCs w:val="21"/>
              </w:rPr>
              <w:t>与客户签订合同</w:t>
            </w:r>
            <w:r>
              <w:rPr>
                <w:rFonts w:hint="eastAsia" w:ascii="MS Mincho" w:hAnsi="MS Mincho" w:eastAsia="MS Mincho" w:cs="MS Mincho"/>
                <w:szCs w:val="21"/>
              </w:rPr>
              <w:t>➙</w:t>
            </w:r>
            <w:r>
              <w:rPr>
                <w:rFonts w:hint="eastAsia" w:asciiTheme="minorEastAsia" w:hAnsiTheme="minorEastAsia" w:eastAsiaTheme="minorEastAsia" w:cstheme="minorEastAsia"/>
                <w:szCs w:val="21"/>
              </w:rPr>
              <w:t>确认方案</w:t>
            </w:r>
            <w:r>
              <w:rPr>
                <w:rFonts w:hint="eastAsia" w:ascii="MS Mincho" w:hAnsi="MS Mincho" w:eastAsia="MS Mincho" w:cs="MS Mincho"/>
                <w:szCs w:val="21"/>
              </w:rPr>
              <w:t>➙</w:t>
            </w:r>
            <w:r>
              <w:rPr>
                <w:rFonts w:hint="eastAsia" w:cs="MS Mincho" w:asciiTheme="minorEastAsia" w:hAnsiTheme="minorEastAsia" w:eastAsiaTheme="minorEastAsia"/>
                <w:szCs w:val="21"/>
              </w:rPr>
              <w:t>产品</w:t>
            </w:r>
            <w:r>
              <w:rPr>
                <w:rFonts w:hint="eastAsia" w:asciiTheme="minorEastAsia" w:hAnsiTheme="minorEastAsia" w:eastAsiaTheme="minorEastAsia" w:cstheme="minorEastAsia"/>
                <w:szCs w:val="21"/>
              </w:rPr>
              <w:t>设计★</w:t>
            </w:r>
            <w:r>
              <w:rPr>
                <w:rFonts w:hint="eastAsia" w:ascii="MS Mincho" w:hAnsi="MS Mincho" w:eastAsia="MS Mincho" w:cs="MS Mincho"/>
                <w:szCs w:val="21"/>
              </w:rPr>
              <w:t>➙</w:t>
            </w:r>
            <w:r>
              <w:rPr>
                <w:rFonts w:hint="eastAsia" w:asciiTheme="minorEastAsia" w:hAnsiTheme="minorEastAsia" w:eastAsiaTheme="minorEastAsia" w:cstheme="minorEastAsia"/>
                <w:szCs w:val="21"/>
              </w:rPr>
              <w:t>图纸、规范、说明书等</w:t>
            </w:r>
            <w:r>
              <w:rPr>
                <w:rFonts w:hint="eastAsia" w:ascii="MS Mincho" w:hAnsi="MS Mincho" w:eastAsia="MS Mincho" w:cs="MS Mincho"/>
                <w:szCs w:val="21"/>
              </w:rPr>
              <w:t>➙</w:t>
            </w:r>
            <w:r>
              <w:rPr>
                <w:rFonts w:hint="eastAsia" w:asciiTheme="minorEastAsia" w:hAnsiTheme="minorEastAsia" w:eastAsiaTheme="minorEastAsia" w:cstheme="minorEastAsia"/>
                <w:szCs w:val="21"/>
              </w:rPr>
              <w:t>原材料采购</w:t>
            </w:r>
            <w:r>
              <w:rPr>
                <w:rFonts w:hint="eastAsia" w:ascii="MS Mincho" w:hAnsi="MS Mincho" w:eastAsia="MS Mincho" w:cs="MS Mincho"/>
                <w:szCs w:val="21"/>
              </w:rPr>
              <w:t>➙</w:t>
            </w:r>
            <w:r>
              <w:rPr>
                <w:rFonts w:hint="eastAsia" w:asciiTheme="minorEastAsia" w:hAnsiTheme="minorEastAsia" w:eastAsiaTheme="minorEastAsia" w:cstheme="minorEastAsia"/>
                <w:szCs w:val="21"/>
              </w:rPr>
              <w:t>智能开关磁阻</w:t>
            </w:r>
            <w:r>
              <w:rPr>
                <w:rFonts w:hint="eastAsia" w:ascii="MS Mincho" w:hAnsi="MS Mincho" w:eastAsia="MS Mincho" w:cs="MS Mincho"/>
                <w:szCs w:val="21"/>
              </w:rPr>
              <w:t>电机</w:t>
            </w:r>
            <w:r>
              <w:rPr>
                <w:rFonts w:hint="eastAsia"/>
                <w:lang w:val="en-US" w:eastAsia="zh-CN"/>
              </w:rPr>
              <w:t>生产</w:t>
            </w:r>
            <w:r>
              <w:rPr>
                <w:rFonts w:hint="eastAsia" w:ascii="MS Mincho" w:hAnsi="MS Mincho" w:eastAsia="MS Mincho" w:cs="MS Mincho"/>
                <w:szCs w:val="21"/>
              </w:rPr>
              <w:t xml:space="preserve"> ➙</w:t>
            </w:r>
            <w:r>
              <w:rPr>
                <w:rFonts w:hint="eastAsia" w:asciiTheme="minorEastAsia" w:hAnsiTheme="minorEastAsia" w:eastAsiaTheme="minorEastAsia" w:cstheme="minorEastAsia"/>
                <w:szCs w:val="21"/>
              </w:rPr>
              <w:t>调试</w:t>
            </w:r>
            <w:r>
              <w:rPr>
                <w:rFonts w:hint="eastAsia" w:ascii="MS Mincho" w:hAnsi="MS Mincho" w:eastAsia="MS Mincho" w:cs="MS Mincho"/>
                <w:szCs w:val="21"/>
              </w:rPr>
              <w:t>➙</w:t>
            </w:r>
            <w:r>
              <w:rPr>
                <w:rFonts w:hint="eastAsia" w:cs="MS Mincho" w:asciiTheme="minorEastAsia" w:hAnsiTheme="minorEastAsia" w:eastAsiaTheme="minorEastAsia"/>
                <w:szCs w:val="21"/>
              </w:rPr>
              <w:t>交付</w:t>
            </w:r>
            <w:r>
              <w:rPr>
                <w:rFonts w:hint="eastAsia" w:ascii="MS Mincho" w:hAnsi="MS Mincho" w:eastAsia="MS Mincho" w:cs="MS Mincho"/>
                <w:szCs w:val="21"/>
              </w:rPr>
              <w:t>➙</w:t>
            </w:r>
            <w:r>
              <w:rPr>
                <w:rFonts w:hint="eastAsia" w:asciiTheme="minorEastAsia" w:hAnsiTheme="minorEastAsia" w:eastAsiaTheme="minorEastAsia" w:cstheme="minorEastAsia"/>
                <w:szCs w:val="21"/>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default" w:ascii="Arial" w:hAnsi="Arial" w:cs="Arial"/>
              </w:rPr>
              <w:t>定子嵌线</w:t>
            </w:r>
            <w:r>
              <w:rPr>
                <w:rFonts w:hint="eastAsia" w:ascii="Arial" w:hAnsi="Arial" w:cs="Arial"/>
                <w:lang w:val="en-US" w:eastAsia="zh-CN"/>
              </w:rPr>
              <w:t>,</w:t>
            </w:r>
            <w:r>
              <w:rPr>
                <w:rFonts w:hint="eastAsia" w:cs="MS Mincho" w:asciiTheme="minorEastAsia" w:hAnsiTheme="minorEastAsia" w:eastAsiaTheme="minorEastAsia"/>
                <w:szCs w:val="21"/>
              </w:rPr>
              <w:t>产品</w:t>
            </w:r>
            <w:r>
              <w:rPr>
                <w:rFonts w:hint="eastAsia" w:asciiTheme="minorEastAsia" w:hAnsiTheme="minorEastAsia" w:eastAsiaTheme="minorEastAsia" w:cstheme="minorEastAsia"/>
                <w:szCs w:val="21"/>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作业指导书，设计开发控制程序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物流运输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签订合同协议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eastAsia="宋体"/>
                <w:color w:val="000000"/>
                <w:spacing w:val="-10"/>
                <w:sz w:val="20"/>
                <w:szCs w:val="20"/>
                <w:u w:val="none"/>
                <w:lang w:eastAsia="zh-CN"/>
              </w:rPr>
            </w:pPr>
            <w:r>
              <w:rPr>
                <w:rFonts w:hint="eastAsia" w:ascii="宋体" w:hAnsi="宋体"/>
                <w:color w:val="000000"/>
                <w:spacing w:val="-10"/>
                <w:sz w:val="20"/>
                <w:szCs w:val="20"/>
              </w:rPr>
              <w:t>主要设备：</w:t>
            </w:r>
            <w:r>
              <w:rPr>
                <w:rFonts w:hint="eastAsia"/>
                <w:color w:val="000000"/>
                <w:u w:val="none"/>
              </w:rPr>
              <w:t>压力机</w:t>
            </w:r>
            <w:r>
              <w:rPr>
                <w:rFonts w:hint="eastAsia"/>
                <w:color w:val="000000"/>
                <w:u w:val="none"/>
                <w:lang w:eastAsia="zh-CN"/>
              </w:rPr>
              <w:t>，冲床，钻床，动平衡机，绕线机， 烘箱，真空浸漆机，等离子切割机，电机实验台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bookmarkStart w:id="22" w:name="_GoBack"/>
            <w:r>
              <w:rPr>
                <w:rFonts w:hint="eastAsia"/>
                <w:color w:val="000000"/>
                <w:u w:val="single"/>
              </w:rPr>
              <w:t>直流低电阻测试仪</w:t>
            </w:r>
            <w:r>
              <w:rPr>
                <w:rFonts w:hint="eastAsia"/>
                <w:color w:val="000000"/>
                <w:u w:val="single"/>
                <w:lang w:val="en-US" w:eastAsia="zh-CN"/>
              </w:rPr>
              <w:t>,耐压测试仪,游标卡尺,外径千分尺</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w:t>
            </w:r>
            <w:r>
              <w:rPr>
                <w:rFonts w:hint="eastAsia" w:ascii="宋体"/>
                <w:color w:val="000000"/>
                <w:sz w:val="20"/>
                <w:szCs w:val="20"/>
                <w:lang w:eastAsia="zh-CN"/>
              </w:rPr>
              <w:t>☑</w:t>
            </w:r>
            <w:r>
              <w:rPr>
                <w:rFonts w:hint="eastAsia" w:asci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 生产</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themeColor="text1"/>
                <w:sz w:val="20"/>
                <w:szCs w:val="20"/>
                <w14:textFill>
                  <w14:solidFill>
                    <w14:schemeClr w14:val="tx1"/>
                  </w14:solidFill>
                </w14:textFill>
              </w:rPr>
              <w:t>了解内审的策划</w:t>
            </w:r>
            <w:r>
              <w:rPr>
                <w:rFonts w:ascii="宋体" w:hAnsi="宋体"/>
                <w:b/>
                <w:color w:val="000000" w:themeColor="text1"/>
                <w:sz w:val="20"/>
                <w:szCs w:val="2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公司于20</w:t>
            </w:r>
            <w:r>
              <w:rPr>
                <w:rFonts w:hint="eastAsia" w:ascii="宋体" w:hAnsi="宋体"/>
                <w:color w:val="000000" w:themeColor="text1"/>
                <w:kern w:val="0"/>
                <w:lang w:val="en-US" w:eastAsia="zh-CN"/>
                <w14:textFill>
                  <w14:solidFill>
                    <w14:schemeClr w14:val="tx1"/>
                  </w14:solidFill>
                </w14:textFill>
              </w:rPr>
              <w:t>19</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12</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17</w:t>
            </w:r>
            <w:r>
              <w:rPr>
                <w:rFonts w:hint="eastAsia" w:ascii="宋体" w:hAnsi="宋体"/>
                <w:color w:val="000000" w:themeColor="text1"/>
                <w:kern w:val="0"/>
                <w14:textFill>
                  <w14:solidFill>
                    <w14:schemeClr w14:val="tx1"/>
                  </w14:solidFill>
                </w14:textFill>
              </w:rPr>
              <w:t>进行一次内审，提供了内审计划、内审记录、不符合报告、内审报告等，发现了QMS：不符合项</w:t>
            </w:r>
            <w:r>
              <w:rPr>
                <w:rFonts w:hint="eastAsia" w:ascii="宋体" w:hAnsi="宋体"/>
                <w:color w:val="000000" w:themeColor="text1"/>
                <w:kern w:val="0"/>
                <w:lang w:val="en-US" w:eastAsia="zh-CN"/>
                <w14:textFill>
                  <w14:solidFill>
                    <w14:schemeClr w14:val="tx1"/>
                  </w14:solidFill>
                </w14:textFill>
              </w:rPr>
              <w:t>1</w:t>
            </w:r>
            <w:r>
              <w:rPr>
                <w:rFonts w:hint="eastAsia" w:ascii="宋体" w:hAnsi="宋体"/>
                <w:color w:val="000000" w:themeColor="text1"/>
                <w:kern w:val="0"/>
                <w14:textFill>
                  <w14:solidFill>
                    <w14:schemeClr w14:val="tx1"/>
                  </w14:solidFill>
                </w14:textFill>
              </w:rPr>
              <w:t>项；具体内容，二阶段进一步审核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ascii="宋体" w:hAnsi="宋体"/>
                <w:color w:val="auto"/>
              </w:rPr>
              <w:t>基本符合计划安排和标准的要求，并得到了较有效实施和保持，仍需进一步改进。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themeColor="text1"/>
                <w:sz w:val="20"/>
                <w:szCs w:val="20"/>
                <w14:textFill>
                  <w14:solidFill>
                    <w14:schemeClr w14:val="tx1"/>
                  </w14:solidFill>
                </w14:textFill>
              </w:rPr>
              <w:t>了解管理评审的策划</w:t>
            </w:r>
            <w:r>
              <w:rPr>
                <w:rFonts w:ascii="宋体" w:hAnsi="宋体"/>
                <w:b/>
                <w:color w:val="000000" w:themeColor="text1"/>
                <w:sz w:val="20"/>
                <w:szCs w:val="2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20</w:t>
            </w:r>
            <w:r>
              <w:rPr>
                <w:rFonts w:hint="eastAsia" w:ascii="宋体" w:hAnsi="宋体"/>
                <w:color w:val="000000" w:themeColor="text1"/>
                <w:kern w:val="0"/>
                <w:lang w:val="en-US" w:eastAsia="zh-CN"/>
                <w14:textFill>
                  <w14:solidFill>
                    <w14:schemeClr w14:val="tx1"/>
                  </w14:solidFill>
                </w14:textFill>
              </w:rPr>
              <w:t>20</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1</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kern w:val="0"/>
                <w:lang w:val="en-US" w:eastAsia="zh-CN"/>
                <w14:textFill>
                  <w14:solidFill>
                    <w14:schemeClr w14:val="tx1"/>
                  </w14:solidFill>
                </w14:textFill>
              </w:rPr>
              <w:t>8</w:t>
            </w:r>
            <w:r>
              <w:rPr>
                <w:rFonts w:hint="eastAsia" w:ascii="宋体" w:hAnsi="宋体"/>
                <w:color w:val="000000" w:themeColor="text1"/>
                <w14:textFill>
                  <w14:solidFill>
                    <w14:schemeClr w14:val="tx1"/>
                  </w14:solidFill>
                </w14:textFill>
              </w:rPr>
              <w:t>召开了管理评审会议，由总经理主持。提供管理评审报告，具体内容，二阶段进一步审核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rPr>
              <w:t>管理评审结论：公司各部门基本按照管理体系标准要求实施已初步取得良好的效果。公司方针、目标、管理体系文件、质量控制等符合公司目前发展状况，所配备的各类资源基本满足管理体系要求。公司质量管理体系基本是充分、有效和适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基本符合要求</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w:t>
      </w:r>
      <w:r>
        <w:rPr>
          <w:rFonts w:hint="eastAsia" w:ascii="宋体" w:hAnsi="宋体"/>
          <w:b w:val="0"/>
          <w:bCs/>
          <w:color w:val="000000"/>
          <w:sz w:val="20"/>
          <w:szCs w:val="20"/>
          <w:u w:val="single"/>
          <w:lang w:eastAsia="zh-CN"/>
        </w:rPr>
        <w:t xml:space="preserve">智能开关磁阻电机研发、制造（3C认证范围内除外） </w:t>
      </w:r>
      <w:r>
        <w:rPr>
          <w:rFonts w:ascii="宋体" w:hAnsi="宋体"/>
          <w:b/>
          <w:color w:val="000000"/>
          <w:sz w:val="20"/>
          <w:szCs w:val="20"/>
        </w:rPr>
        <w:t>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1872615</wp:posOffset>
            </wp:positionH>
            <wp:positionV relativeFrom="paragraph">
              <wp:posOffset>-191770</wp:posOffset>
            </wp:positionV>
            <wp:extent cx="514350" cy="371475"/>
            <wp:effectExtent l="0" t="0" r="0" b="9525"/>
            <wp:wrapSquare wrapText="bothSides"/>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pacing w:line="400" w:lineRule="exact"/>
        <w:ind w:firstLine="840" w:firstLineChars="400"/>
        <w:rPr>
          <w:rFonts w:ascii="宋体"/>
          <w:b/>
          <w:color w:val="000000"/>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1976120</wp:posOffset>
            </wp:positionH>
            <wp:positionV relativeFrom="paragraph">
              <wp:posOffset>62230</wp:posOffset>
            </wp:positionV>
            <wp:extent cx="912495" cy="513080"/>
            <wp:effectExtent l="0" t="0" r="0" b="1270"/>
            <wp:wrapSquare wrapText="bothSides"/>
            <wp:docPr id="3" name="图片 3"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韦春喜"/>
                    <pic:cNvPicPr>
                      <a:picLocks noChangeAspect="1"/>
                    </pic:cNvPicPr>
                  </pic:nvPicPr>
                  <pic:blipFill>
                    <a:blip r:embed="rId7"/>
                    <a:stretch>
                      <a:fillRect/>
                    </a:stretch>
                  </pic:blipFill>
                  <pic:spPr>
                    <a:xfrm>
                      <a:off x="0" y="0"/>
                      <a:ext cx="912495" cy="51308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2020-04-01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1</w:t>
            </w:r>
          </w:p>
        </w:tc>
        <w:tc>
          <w:tcPr>
            <w:tcW w:w="5681" w:type="dxa"/>
            <w:vAlign w:val="top"/>
          </w:tcPr>
          <w:p>
            <w:pPr>
              <w:spacing w:before="40" w:after="40"/>
              <w:rPr>
                <w:rFonts w:hint="default" w:eastAsia="宋体"/>
                <w:color w:val="000000"/>
                <w:sz w:val="24"/>
                <w:szCs w:val="24"/>
                <w:lang w:val="en-US" w:eastAsia="zh-CN"/>
              </w:rPr>
            </w:pPr>
            <w:r>
              <w:rPr>
                <w:rFonts w:hint="eastAsia"/>
                <w:color w:val="000000"/>
                <w:sz w:val="24"/>
                <w:szCs w:val="24"/>
                <w:lang w:val="en-US" w:eastAsia="zh-CN"/>
              </w:rPr>
              <w:t>质量手册中：</w:t>
            </w:r>
            <w:r>
              <w:rPr>
                <w:rFonts w:hint="eastAsia"/>
                <w:color w:val="000000"/>
                <w:sz w:val="24"/>
                <w:szCs w:val="24"/>
              </w:rPr>
              <w:t>质量管理职能分配表</w:t>
            </w:r>
            <w:r>
              <w:rPr>
                <w:rFonts w:hint="eastAsia"/>
                <w:color w:val="000000"/>
                <w:sz w:val="24"/>
                <w:szCs w:val="24"/>
                <w:lang w:val="en-US" w:eastAsia="zh-CN"/>
              </w:rPr>
              <w:t>,未描述Q8.3内容</w:t>
            </w:r>
          </w:p>
        </w:tc>
        <w:tc>
          <w:tcPr>
            <w:tcW w:w="1688" w:type="dxa"/>
            <w:vAlign w:val="top"/>
          </w:tcPr>
          <w:p>
            <w:pPr>
              <w:spacing w:before="40" w:after="40"/>
              <w:rPr>
                <w:color w:val="000000"/>
                <w:sz w:val="32"/>
                <w:szCs w:val="32"/>
              </w:rPr>
            </w:pPr>
            <w:r>
              <w:rPr>
                <w:rFonts w:hint="eastAsia" w:ascii="宋体" w:hAnsi="宋体"/>
                <w:sz w:val="21"/>
                <w:lang w:val="en-US" w:eastAsia="zh-CN"/>
              </w:rPr>
              <w:t>Q4.3</w:t>
            </w:r>
          </w:p>
        </w:tc>
        <w:tc>
          <w:tcPr>
            <w:tcW w:w="1811" w:type="dxa"/>
            <w:vAlign w:val="top"/>
          </w:tcPr>
          <w:p>
            <w:pPr>
              <w:spacing w:before="40" w:after="40"/>
              <w:rPr>
                <w:color w:val="000000"/>
                <w:sz w:val="32"/>
                <w:szCs w:val="32"/>
              </w:rPr>
            </w:pPr>
            <w:r>
              <w:rPr>
                <w:rFonts w:hint="eastAsia"/>
                <w:sz w:val="21"/>
                <w:lang w:val="en-US" w:eastAsia="zh-CN"/>
              </w:rPr>
              <w:t>与认证范围不一致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ascii="宋体"/>
                <w:color w:val="000000"/>
                <w:sz w:val="24"/>
                <w:szCs w:val="24"/>
              </w:rPr>
            </w:pPr>
            <w:r>
              <w:rPr>
                <w:rFonts w:hint="eastAsia" w:ascii="宋体" w:hAnsi="宋体"/>
                <w:sz w:val="21"/>
                <w:lang w:val="en-US" w:eastAsia="zh-CN"/>
              </w:rPr>
              <w:t>2</w:t>
            </w:r>
          </w:p>
        </w:tc>
        <w:tc>
          <w:tcPr>
            <w:tcW w:w="5681" w:type="dxa"/>
            <w:vAlign w:val="top"/>
          </w:tcPr>
          <w:p>
            <w:pPr>
              <w:spacing w:before="40" w:after="40"/>
              <w:rPr>
                <w:color w:val="000000"/>
                <w:sz w:val="24"/>
                <w:szCs w:val="24"/>
              </w:rPr>
            </w:pPr>
            <w:r>
              <w:rPr>
                <w:rFonts w:hint="eastAsia" w:ascii="宋体" w:hAnsi="宋体"/>
                <w:sz w:val="21"/>
                <w:lang w:val="en-US" w:eastAsia="zh-CN"/>
              </w:rPr>
              <w:t>未提供计量设备校准报告</w:t>
            </w:r>
          </w:p>
        </w:tc>
        <w:tc>
          <w:tcPr>
            <w:tcW w:w="1688" w:type="dxa"/>
            <w:vAlign w:val="top"/>
          </w:tcPr>
          <w:p>
            <w:pPr>
              <w:spacing w:before="120" w:line="340" w:lineRule="exact"/>
              <w:rPr>
                <w:rFonts w:hint="eastAsia" w:ascii="宋体" w:hAnsi="宋体" w:eastAsia="宋体"/>
                <w:szCs w:val="21"/>
                <w:lang w:eastAsia="zh-CN"/>
              </w:rPr>
            </w:pPr>
            <w:r>
              <w:rPr>
                <w:rFonts w:ascii="宋体" w:hAnsi="宋体"/>
                <w:szCs w:val="21"/>
              </w:rPr>
              <w:t>Q7.1.</w:t>
            </w:r>
            <w:r>
              <w:rPr>
                <w:rFonts w:hint="eastAsia" w:ascii="宋体" w:hAnsi="宋体"/>
                <w:szCs w:val="21"/>
                <w:lang w:val="en-US" w:eastAsia="zh-CN"/>
              </w:rPr>
              <w:t>5</w:t>
            </w:r>
          </w:p>
          <w:p>
            <w:pPr>
              <w:spacing w:before="40" w:after="40"/>
              <w:rPr>
                <w:color w:val="000000"/>
                <w:sz w:val="32"/>
                <w:szCs w:val="32"/>
              </w:rPr>
            </w:pPr>
          </w:p>
        </w:tc>
        <w:tc>
          <w:tcPr>
            <w:tcW w:w="1811" w:type="dxa"/>
            <w:vAlign w:val="top"/>
          </w:tcPr>
          <w:p>
            <w:pPr>
              <w:spacing w:before="40" w:after="40"/>
              <w:rPr>
                <w:rFonts w:hint="eastAsia"/>
                <w:sz w:val="21"/>
              </w:rPr>
            </w:pPr>
          </w:p>
          <w:p>
            <w:pPr>
              <w:spacing w:before="40" w:after="40"/>
              <w:rPr>
                <w:rFonts w:hint="eastAsia" w:eastAsia="宋体"/>
                <w:sz w:val="21"/>
                <w:lang w:val="en-US" w:eastAsia="zh-CN"/>
              </w:rPr>
            </w:pPr>
            <w:r>
              <w:rPr>
                <w:rFonts w:hint="eastAsia"/>
                <w:sz w:val="21"/>
                <w:lang w:val="en-US" w:eastAsia="zh-CN"/>
              </w:rPr>
              <w:t>报告不全</w:t>
            </w:r>
          </w:p>
          <w:p>
            <w:pPr>
              <w:spacing w:before="40" w:after="40"/>
              <w:rPr>
                <w:rFonts w:hint="eastAsia"/>
                <w:sz w:val="21"/>
              </w:rPr>
            </w:pPr>
          </w:p>
          <w:p>
            <w:pPr>
              <w:spacing w:before="40" w:after="40"/>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pacing w:val="-10"/>
                <w:szCs w:val="21"/>
              </w:rPr>
            </w:pPr>
            <w:r>
              <w:rPr>
                <w:rFonts w:hint="default" w:eastAsia="宋体"/>
                <w:sz w:val="21"/>
                <w:szCs w:val="21"/>
                <w:lang w:val="en-US" w:eastAsia="zh-CN"/>
              </w:rPr>
              <w:drawing>
                <wp:anchor distT="0" distB="0" distL="114300" distR="114300" simplePos="0" relativeHeight="251665408" behindDoc="0" locked="0" layoutInCell="1" allowOverlap="1">
                  <wp:simplePos x="0" y="0"/>
                  <wp:positionH relativeFrom="column">
                    <wp:posOffset>1510665</wp:posOffset>
                  </wp:positionH>
                  <wp:positionV relativeFrom="paragraph">
                    <wp:posOffset>67310</wp:posOffset>
                  </wp:positionV>
                  <wp:extent cx="706755" cy="397510"/>
                  <wp:effectExtent l="0" t="0" r="17145" b="2540"/>
                  <wp:wrapSquare wrapText="bothSides"/>
                  <wp:docPr id="4" name="图片 4" descr="韦春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韦春喜"/>
                          <pic:cNvPicPr>
                            <a:picLocks noChangeAspect="1"/>
                          </pic:cNvPicPr>
                        </pic:nvPicPr>
                        <pic:blipFill>
                          <a:blip r:embed="rId7"/>
                          <a:stretch>
                            <a:fillRect/>
                          </a:stretch>
                        </pic:blipFill>
                        <pic:spPr>
                          <a:xfrm>
                            <a:off x="0" y="0"/>
                            <a:ext cx="706755" cy="397510"/>
                          </a:xfrm>
                          <a:prstGeom prst="rect">
                            <a:avLst/>
                          </a:prstGeom>
                        </pic:spPr>
                      </pic:pic>
                    </a:graphicData>
                  </a:graphic>
                </wp:anchor>
              </w:drawing>
            </w:r>
            <w:r>
              <w:rPr>
                <w:rFonts w:hint="default" w:eastAsia="宋体"/>
                <w:sz w:val="21"/>
                <w:szCs w:val="21"/>
                <w:lang w:val="en-US" w:eastAsia="zh-CN"/>
              </w:rPr>
              <w:drawing>
                <wp:anchor distT="0" distB="0" distL="114300" distR="114300" simplePos="0" relativeHeight="251663360" behindDoc="0" locked="0" layoutInCell="1" allowOverlap="1">
                  <wp:simplePos x="0" y="0"/>
                  <wp:positionH relativeFrom="column">
                    <wp:posOffset>721995</wp:posOffset>
                  </wp:positionH>
                  <wp:positionV relativeFrom="paragraph">
                    <wp:posOffset>23495</wp:posOffset>
                  </wp:positionV>
                  <wp:extent cx="514350" cy="371475"/>
                  <wp:effectExtent l="0" t="0" r="0" b="9525"/>
                  <wp:wrapSquare wrapText="bothSides"/>
                  <wp:docPr id="5"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spacing w:line="280" w:lineRule="exact"/>
              <w:rPr>
                <w:rFonts w:hint="eastAsia"/>
                <w:b/>
                <w:color w:val="000000"/>
                <w:sz w:val="22"/>
                <w:szCs w:val="22"/>
              </w:rPr>
            </w:pPr>
            <w:r>
              <w:rPr>
                <w:rFonts w:hint="eastAsia"/>
                <w:b/>
                <w:color w:val="000000"/>
                <w:sz w:val="22"/>
                <w:szCs w:val="22"/>
              </w:rPr>
              <w:t>审核员：</w:t>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04</w:t>
            </w:r>
            <w:r>
              <w:rPr>
                <w:rFonts w:hint="eastAsia"/>
                <w:b/>
                <w:color w:val="000000"/>
                <w:sz w:val="22"/>
                <w:szCs w:val="22"/>
              </w:rPr>
              <w:t>月</w:t>
            </w:r>
            <w:r>
              <w:rPr>
                <w:rFonts w:hint="eastAsia"/>
                <w:b/>
                <w:color w:val="000000"/>
                <w:sz w:val="22"/>
                <w:szCs w:val="22"/>
                <w:lang w:val="en-US" w:eastAsia="zh-CN"/>
              </w:rPr>
              <w:t>01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default" w:eastAsia="宋体"/>
                <w:sz w:val="21"/>
                <w:szCs w:val="21"/>
                <w:lang w:val="en-US" w:eastAsia="zh-CN"/>
              </w:rPr>
              <w:drawing>
                <wp:anchor distT="0" distB="0" distL="114300" distR="114300" simplePos="0" relativeHeight="251671552" behindDoc="0" locked="0" layoutInCell="1" allowOverlap="1">
                  <wp:simplePos x="0" y="0"/>
                  <wp:positionH relativeFrom="column">
                    <wp:posOffset>726440</wp:posOffset>
                  </wp:positionH>
                  <wp:positionV relativeFrom="paragraph">
                    <wp:posOffset>59055</wp:posOffset>
                  </wp:positionV>
                  <wp:extent cx="514350" cy="371475"/>
                  <wp:effectExtent l="0" t="0" r="0" b="9525"/>
                  <wp:wrapSquare wrapText="bothSides"/>
                  <wp:docPr id="6" name="图片 2"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04</w:t>
            </w:r>
            <w:r>
              <w:rPr>
                <w:rFonts w:hint="eastAsia"/>
                <w:b/>
                <w:color w:val="000000"/>
                <w:sz w:val="22"/>
                <w:szCs w:val="22"/>
              </w:rPr>
              <w:t>月</w:t>
            </w:r>
            <w:r>
              <w:rPr>
                <w:rFonts w:hint="eastAsia"/>
                <w:b/>
                <w:color w:val="000000"/>
                <w:sz w:val="22"/>
                <w:szCs w:val="22"/>
                <w:lang w:val="en-US" w:eastAsia="zh-CN"/>
              </w:rPr>
              <w:t>01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隶书">
    <w:altName w:val="微软雅黑"/>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FB4AF1"/>
    <w:rsid w:val="2F237C8E"/>
    <w:rsid w:val="38FB0600"/>
    <w:rsid w:val="448A5AEF"/>
    <w:rsid w:val="4D2938A9"/>
    <w:rsid w:val="5C8034B8"/>
    <w:rsid w:val="655E71CF"/>
    <w:rsid w:val="7D564F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4</TotalTime>
  <ScaleCrop>false</ScaleCrop>
  <LinksUpToDate>false</LinksUpToDate>
  <CharactersWithSpaces>6844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2020-04-16T03:02:22Z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