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0099-2020-Q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安徽徐淮电气有限责任公司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韦春喜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安徽徐淮电气有限责任公司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淮北经济开发区新区梧桐大道东长城创业园7号楼</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235025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淮北经济开发区新区梧桐大道东长城创业园7号楼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235025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范庆流</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13815312561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徐志浩</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范庆流</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智能开关柜、控制器开发、制造（3C许可范围内除外）</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19.09.02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智能开关柜、控制器开发、制造（3C许可范围内除外）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生产部/综合部/质管部/供销部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rPr>
                <w:rFonts w:ascii="宋体"/>
                <w:color w:val="auto"/>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auto"/>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r>
              <w:t>控制器</w:t>
            </w:r>
            <w:r>
              <w:rPr>
                <w:rFonts w:hint="eastAsia"/>
                <w:lang w:val="en-US" w:eastAsia="zh-CN"/>
              </w:rPr>
              <w:t>生产工艺：</w:t>
            </w:r>
            <w:r>
              <w:rPr>
                <w:rFonts w:hint="eastAsia"/>
              </w:rPr>
              <w:t>MOS板测试</w:t>
            </w:r>
            <w:r>
              <w:rPr>
                <w:rFonts w:hint="eastAsia" w:asciiTheme="minorEastAsia" w:hAnsiTheme="minorEastAsia" w:eastAsiaTheme="minorEastAsia" w:cstheme="minorEastAsia"/>
                <w:szCs w:val="21"/>
              </w:rPr>
              <w:t>★</w:t>
            </w:r>
            <w:r>
              <w:rPr>
                <w:rFonts w:hint="default" w:ascii="Arial" w:hAnsi="Arial" w:cs="Arial"/>
              </w:rPr>
              <w:t>→</w:t>
            </w:r>
            <w:r>
              <w:rPr>
                <w:rFonts w:hint="eastAsia"/>
              </w:rPr>
              <w:t>主控板测试</w:t>
            </w:r>
            <w:r>
              <w:rPr>
                <w:rFonts w:hint="eastAsia" w:asciiTheme="minorEastAsia" w:hAnsiTheme="minorEastAsia" w:eastAsiaTheme="minorEastAsia" w:cstheme="minorEastAsia"/>
                <w:szCs w:val="21"/>
              </w:rPr>
              <w:t>★</w:t>
            </w:r>
            <w:r>
              <w:rPr>
                <w:rFonts w:hint="default" w:ascii="Arial" w:hAnsi="Arial" w:cs="Arial"/>
              </w:rPr>
              <w:t>→</w:t>
            </w:r>
            <w:r>
              <w:rPr>
                <w:rFonts w:hint="eastAsia"/>
              </w:rPr>
              <w:t>INF组装</w:t>
            </w:r>
            <w:r>
              <w:rPr>
                <w:rFonts w:hint="default" w:ascii="Arial" w:hAnsi="Arial" w:cs="Arial"/>
              </w:rPr>
              <w:t>→</w:t>
            </w:r>
            <w:r>
              <w:rPr>
                <w:rFonts w:hint="eastAsia"/>
              </w:rPr>
              <w:t>CNT组装</w:t>
            </w:r>
            <w:r>
              <w:rPr>
                <w:rFonts w:hint="default" w:ascii="Arial" w:hAnsi="Arial" w:cs="Arial"/>
              </w:rPr>
              <w:t>→</w:t>
            </w:r>
            <w:r>
              <w:rPr>
                <w:rFonts w:hint="eastAsia"/>
              </w:rPr>
              <w:t>线束组装</w:t>
            </w:r>
            <w:r>
              <w:rPr>
                <w:rFonts w:hint="default" w:ascii="Arial" w:hAnsi="Arial" w:cs="Arial"/>
              </w:rPr>
              <w:t>→</w:t>
            </w:r>
            <w:r>
              <w:rPr>
                <w:rFonts w:hint="eastAsia"/>
              </w:rPr>
              <w:t>组合测试</w:t>
            </w:r>
            <w:r>
              <w:rPr>
                <w:rFonts w:hint="eastAsia" w:asciiTheme="minorEastAsia" w:hAnsiTheme="minorEastAsia" w:eastAsiaTheme="minorEastAsia" w:cstheme="minorEastAsia"/>
                <w:szCs w:val="21"/>
              </w:rPr>
              <w:t>★</w:t>
            </w:r>
            <w:r>
              <w:rPr>
                <w:rFonts w:hint="default" w:ascii="Arial" w:hAnsi="Arial" w:cs="Arial"/>
              </w:rPr>
              <w:t>→</w:t>
            </w:r>
            <w:r>
              <w:rPr>
                <w:rFonts w:hint="eastAsia"/>
              </w:rPr>
              <w:t>上盖组装</w:t>
            </w:r>
          </w:p>
          <w:p/>
          <w:p>
            <w:pPr>
              <w:rPr>
                <w:rFonts w:hint="default" w:eastAsia="宋体"/>
                <w:lang w:val="en-US" w:eastAsia="zh-CN"/>
              </w:rPr>
            </w:pPr>
            <w:r>
              <w:t>控制器</w:t>
            </w:r>
            <w:r>
              <w:rPr>
                <w:rFonts w:hint="eastAsia"/>
                <w:lang w:val="en-US" w:eastAsia="zh-CN"/>
              </w:rPr>
              <w:t>研发流程：</w:t>
            </w:r>
            <w:r>
              <w:rPr>
                <w:rFonts w:hint="eastAsia" w:asciiTheme="minorEastAsia" w:hAnsiTheme="minorEastAsia" w:eastAsiaTheme="minorEastAsia" w:cstheme="minorEastAsia"/>
                <w:szCs w:val="21"/>
              </w:rPr>
              <w:t>投标</w:t>
            </w:r>
            <w:r>
              <w:rPr>
                <w:rFonts w:hint="eastAsia" w:ascii="MS Mincho" w:hAnsi="MS Mincho" w:eastAsia="MS Mincho" w:cs="MS Mincho"/>
                <w:szCs w:val="21"/>
              </w:rPr>
              <w:t>➙</w:t>
            </w:r>
            <w:r>
              <w:rPr>
                <w:rFonts w:hint="eastAsia" w:cs="MS Mincho" w:asciiTheme="minorEastAsia" w:hAnsiTheme="minorEastAsia" w:eastAsiaTheme="minorEastAsia"/>
                <w:szCs w:val="21"/>
              </w:rPr>
              <w:t>与客户签订合同</w:t>
            </w:r>
            <w:r>
              <w:rPr>
                <w:rFonts w:hint="eastAsia" w:ascii="MS Mincho" w:hAnsi="MS Mincho" w:eastAsia="MS Mincho" w:cs="MS Mincho"/>
                <w:szCs w:val="21"/>
              </w:rPr>
              <w:t>➙</w:t>
            </w:r>
            <w:r>
              <w:rPr>
                <w:rFonts w:hint="eastAsia" w:asciiTheme="minorEastAsia" w:hAnsiTheme="minorEastAsia" w:eastAsiaTheme="minorEastAsia" w:cstheme="minorEastAsia"/>
                <w:szCs w:val="21"/>
              </w:rPr>
              <w:t>确认方案</w:t>
            </w:r>
            <w:r>
              <w:rPr>
                <w:rFonts w:hint="eastAsia" w:ascii="MS Mincho" w:hAnsi="MS Mincho" w:eastAsia="MS Mincho" w:cs="MS Mincho"/>
                <w:szCs w:val="21"/>
              </w:rPr>
              <w:t>➙</w:t>
            </w:r>
            <w:r>
              <w:rPr>
                <w:rFonts w:hint="eastAsia" w:cs="MS Mincho" w:asciiTheme="minorEastAsia" w:hAnsiTheme="minorEastAsia" w:eastAsiaTheme="minorEastAsia"/>
                <w:szCs w:val="21"/>
              </w:rPr>
              <w:t>产品</w:t>
            </w:r>
            <w:r>
              <w:rPr>
                <w:rFonts w:hint="eastAsia" w:asciiTheme="minorEastAsia" w:hAnsiTheme="minorEastAsia" w:eastAsiaTheme="minorEastAsia" w:cstheme="minorEastAsia"/>
                <w:szCs w:val="21"/>
              </w:rPr>
              <w:t>设计★</w:t>
            </w:r>
            <w:r>
              <w:rPr>
                <w:rFonts w:hint="eastAsia" w:ascii="MS Mincho" w:hAnsi="MS Mincho" w:eastAsia="MS Mincho" w:cs="MS Mincho"/>
                <w:szCs w:val="21"/>
              </w:rPr>
              <w:t>➙</w:t>
            </w:r>
            <w:r>
              <w:rPr>
                <w:rFonts w:hint="eastAsia" w:asciiTheme="minorEastAsia" w:hAnsiTheme="minorEastAsia" w:eastAsiaTheme="minorEastAsia" w:cstheme="minorEastAsia"/>
                <w:szCs w:val="21"/>
              </w:rPr>
              <w:t>图纸、规范、说明书等</w:t>
            </w:r>
            <w:r>
              <w:rPr>
                <w:rFonts w:hint="eastAsia" w:ascii="MS Mincho" w:hAnsi="MS Mincho" w:eastAsia="MS Mincho" w:cs="MS Mincho"/>
                <w:szCs w:val="21"/>
              </w:rPr>
              <w:t>➙</w:t>
            </w:r>
            <w:r>
              <w:rPr>
                <w:rFonts w:hint="eastAsia" w:asciiTheme="minorEastAsia" w:hAnsiTheme="minorEastAsia" w:eastAsiaTheme="minorEastAsia" w:cstheme="minorEastAsia"/>
                <w:szCs w:val="21"/>
              </w:rPr>
              <w:t>原材料采购</w:t>
            </w:r>
            <w:r>
              <w:rPr>
                <w:rFonts w:hint="eastAsia" w:ascii="MS Mincho" w:hAnsi="MS Mincho" w:eastAsia="MS Mincho" w:cs="MS Mincho"/>
                <w:szCs w:val="21"/>
              </w:rPr>
              <w:t>➙</w:t>
            </w:r>
            <w:r>
              <w:t>控制器</w:t>
            </w:r>
            <w:r>
              <w:rPr>
                <w:rFonts w:hint="eastAsia"/>
                <w:lang w:val="en-US" w:eastAsia="zh-CN"/>
              </w:rPr>
              <w:t>生产</w:t>
            </w:r>
            <w:r>
              <w:rPr>
                <w:rFonts w:hint="eastAsia" w:ascii="MS Mincho" w:hAnsi="MS Mincho" w:eastAsia="MS Mincho" w:cs="MS Mincho"/>
                <w:szCs w:val="21"/>
              </w:rPr>
              <w:t xml:space="preserve"> ➙</w:t>
            </w:r>
            <w:r>
              <w:rPr>
                <w:rFonts w:hint="eastAsia" w:asciiTheme="minorEastAsia" w:hAnsiTheme="minorEastAsia" w:eastAsiaTheme="minorEastAsia" w:cstheme="minorEastAsia"/>
                <w:szCs w:val="21"/>
              </w:rPr>
              <w:t>调试</w:t>
            </w:r>
            <w:r>
              <w:rPr>
                <w:rFonts w:hint="eastAsia" w:ascii="MS Mincho" w:hAnsi="MS Mincho" w:eastAsia="MS Mincho" w:cs="MS Mincho"/>
                <w:szCs w:val="21"/>
              </w:rPr>
              <w:t>➙</w:t>
            </w:r>
            <w:r>
              <w:rPr>
                <w:rFonts w:hint="eastAsia" w:cs="MS Mincho" w:asciiTheme="minorEastAsia" w:hAnsiTheme="minorEastAsia" w:eastAsiaTheme="minorEastAsia"/>
                <w:szCs w:val="21"/>
              </w:rPr>
              <w:t>交付</w:t>
            </w:r>
            <w:r>
              <w:rPr>
                <w:rFonts w:hint="eastAsia" w:ascii="MS Mincho" w:hAnsi="MS Mincho" w:eastAsia="MS Mincho" w:cs="MS Mincho"/>
                <w:szCs w:val="21"/>
              </w:rPr>
              <w:t>➙</w:t>
            </w:r>
            <w:r>
              <w:rPr>
                <w:rFonts w:hint="eastAsia" w:asciiTheme="minorEastAsia" w:hAnsiTheme="minorEastAsia" w:eastAsiaTheme="minorEastAsia" w:cstheme="minorEastAsia"/>
                <w:szCs w:val="21"/>
              </w:rPr>
              <w:t>售后服务</w:t>
            </w:r>
          </w:p>
          <w:p>
            <w:pPr>
              <w:rPr>
                <w:rFonts w:hint="eastAsia"/>
                <w:lang w:val="en-US" w:eastAsia="zh-CN"/>
              </w:rPr>
            </w:pPr>
          </w:p>
          <w:p>
            <w:pPr>
              <w:rPr>
                <w:rFonts w:hint="eastAsia"/>
              </w:rPr>
            </w:pPr>
            <w:r>
              <w:t>智能开关柜</w:t>
            </w:r>
            <w:r>
              <w:rPr>
                <w:rFonts w:hint="eastAsia"/>
                <w:lang w:val="en-US" w:eastAsia="zh-CN"/>
              </w:rPr>
              <w:t>生产工艺：</w:t>
            </w:r>
            <w:r>
              <w:rPr>
                <w:rFonts w:hint="eastAsia"/>
              </w:rPr>
              <w:t>散热铝块组装</w:t>
            </w:r>
            <w:r>
              <w:rPr>
                <w:rFonts w:hint="default" w:ascii="Arial" w:hAnsi="Arial" w:cs="Arial"/>
              </w:rPr>
              <w:t>→</w:t>
            </w:r>
            <w:r>
              <w:rPr>
                <w:rFonts w:hint="eastAsia"/>
              </w:rPr>
              <w:t>IGBT模块组装</w:t>
            </w:r>
            <w:r>
              <w:rPr>
                <w:rFonts w:hint="default" w:ascii="Arial" w:hAnsi="Arial" w:cs="Arial"/>
              </w:rPr>
              <w:t>→</w:t>
            </w:r>
            <w:r>
              <w:rPr>
                <w:rFonts w:hint="eastAsia"/>
              </w:rPr>
              <w:t>电阻风扇安装</w:t>
            </w:r>
            <w:r>
              <w:rPr>
                <w:rFonts w:hint="default" w:ascii="Arial" w:hAnsi="Arial" w:cs="Arial"/>
              </w:rPr>
              <w:t>→</w:t>
            </w:r>
            <w:r>
              <w:rPr>
                <w:rFonts w:hint="eastAsia"/>
              </w:rPr>
              <w:t>传感器组装</w:t>
            </w:r>
            <w:r>
              <w:rPr>
                <w:rFonts w:hint="default" w:ascii="Arial" w:hAnsi="Arial" w:cs="Arial"/>
              </w:rPr>
              <w:t>→</w:t>
            </w:r>
            <w:r>
              <w:rPr>
                <w:rFonts w:hint="eastAsia"/>
              </w:rPr>
              <w:t>铜排组装</w:t>
            </w:r>
            <w:r>
              <w:rPr>
                <w:rFonts w:hint="default" w:ascii="Arial" w:hAnsi="Arial" w:cs="Arial"/>
              </w:rPr>
              <w:t>→</w:t>
            </w:r>
            <w:r>
              <w:rPr>
                <w:rFonts w:hint="eastAsia"/>
              </w:rPr>
              <w:t>线束组装</w:t>
            </w:r>
            <w:r>
              <w:rPr>
                <w:rFonts w:hint="default" w:ascii="Arial" w:hAnsi="Arial" w:cs="Arial"/>
              </w:rPr>
              <w:t>→</w:t>
            </w:r>
            <w:r>
              <w:rPr>
                <w:rFonts w:hint="eastAsia"/>
              </w:rPr>
              <w:t>电源接线端子安装</w:t>
            </w:r>
            <w:r>
              <w:rPr>
                <w:rFonts w:hint="default" w:ascii="Arial" w:hAnsi="Arial" w:cs="Arial"/>
              </w:rPr>
              <w:t>→</w:t>
            </w:r>
            <w:r>
              <w:rPr>
                <w:rFonts w:hint="eastAsia"/>
              </w:rPr>
              <w:t>控制驱动板安装</w:t>
            </w:r>
          </w:p>
          <w:p>
            <w:pPr>
              <w:rPr>
                <w:rFonts w:hint="default"/>
                <w:lang w:val="en-US" w:eastAsia="zh-CN"/>
              </w:rPr>
            </w:pPr>
          </w:p>
          <w:p>
            <w:pPr>
              <w:rPr>
                <w:rFonts w:ascii="宋体"/>
                <w:color w:val="000000"/>
                <w:sz w:val="20"/>
                <w:szCs w:val="20"/>
              </w:rPr>
            </w:pPr>
            <w:r>
              <w:t>智能开关柜</w:t>
            </w:r>
            <w:r>
              <w:rPr>
                <w:rFonts w:hint="eastAsia"/>
                <w:lang w:val="en-US" w:eastAsia="zh-CN"/>
              </w:rPr>
              <w:t>研发流程：</w:t>
            </w:r>
            <w:r>
              <w:rPr>
                <w:rFonts w:hint="eastAsia" w:asciiTheme="minorEastAsia" w:hAnsiTheme="minorEastAsia" w:eastAsiaTheme="minorEastAsia" w:cstheme="minorEastAsia"/>
                <w:szCs w:val="21"/>
              </w:rPr>
              <w:t>投标</w:t>
            </w:r>
            <w:r>
              <w:rPr>
                <w:rFonts w:hint="eastAsia" w:ascii="MS Mincho" w:hAnsi="MS Mincho" w:eastAsia="MS Mincho" w:cs="MS Mincho"/>
                <w:szCs w:val="21"/>
              </w:rPr>
              <w:t>➙</w:t>
            </w:r>
            <w:r>
              <w:rPr>
                <w:rFonts w:hint="eastAsia" w:cs="MS Mincho" w:asciiTheme="minorEastAsia" w:hAnsiTheme="minorEastAsia" w:eastAsiaTheme="minorEastAsia"/>
                <w:szCs w:val="21"/>
              </w:rPr>
              <w:t>与客户签订合同</w:t>
            </w:r>
            <w:r>
              <w:rPr>
                <w:rFonts w:hint="eastAsia" w:ascii="MS Mincho" w:hAnsi="MS Mincho" w:eastAsia="MS Mincho" w:cs="MS Mincho"/>
                <w:szCs w:val="21"/>
              </w:rPr>
              <w:t>➙</w:t>
            </w:r>
            <w:r>
              <w:rPr>
                <w:rFonts w:hint="eastAsia" w:asciiTheme="minorEastAsia" w:hAnsiTheme="minorEastAsia" w:eastAsiaTheme="minorEastAsia" w:cstheme="minorEastAsia"/>
                <w:szCs w:val="21"/>
              </w:rPr>
              <w:t>确认方案</w:t>
            </w:r>
            <w:r>
              <w:rPr>
                <w:rFonts w:hint="eastAsia" w:ascii="MS Mincho" w:hAnsi="MS Mincho" w:eastAsia="MS Mincho" w:cs="MS Mincho"/>
                <w:szCs w:val="21"/>
              </w:rPr>
              <w:t>➙</w:t>
            </w:r>
            <w:r>
              <w:rPr>
                <w:rFonts w:hint="eastAsia" w:cs="MS Mincho" w:asciiTheme="minorEastAsia" w:hAnsiTheme="minorEastAsia" w:eastAsiaTheme="minorEastAsia"/>
                <w:szCs w:val="21"/>
              </w:rPr>
              <w:t>产品</w:t>
            </w:r>
            <w:r>
              <w:rPr>
                <w:rFonts w:hint="eastAsia" w:asciiTheme="minorEastAsia" w:hAnsiTheme="minorEastAsia" w:eastAsiaTheme="minorEastAsia" w:cstheme="minorEastAsia"/>
                <w:szCs w:val="21"/>
              </w:rPr>
              <w:t>设计★</w:t>
            </w:r>
            <w:r>
              <w:rPr>
                <w:rFonts w:hint="eastAsia" w:ascii="MS Mincho" w:hAnsi="MS Mincho" w:eastAsia="MS Mincho" w:cs="MS Mincho"/>
                <w:szCs w:val="21"/>
              </w:rPr>
              <w:t>➙</w:t>
            </w:r>
            <w:r>
              <w:rPr>
                <w:rFonts w:hint="eastAsia" w:asciiTheme="minorEastAsia" w:hAnsiTheme="minorEastAsia" w:eastAsiaTheme="minorEastAsia" w:cstheme="minorEastAsia"/>
                <w:szCs w:val="21"/>
              </w:rPr>
              <w:t>图纸、规范、说明书等</w:t>
            </w:r>
            <w:r>
              <w:rPr>
                <w:rFonts w:hint="eastAsia" w:ascii="MS Mincho" w:hAnsi="MS Mincho" w:eastAsia="MS Mincho" w:cs="MS Mincho"/>
                <w:szCs w:val="21"/>
              </w:rPr>
              <w:t>➙</w:t>
            </w:r>
            <w:r>
              <w:rPr>
                <w:rFonts w:hint="eastAsia" w:asciiTheme="minorEastAsia" w:hAnsiTheme="minorEastAsia" w:eastAsiaTheme="minorEastAsia" w:cstheme="minorEastAsia"/>
                <w:szCs w:val="21"/>
              </w:rPr>
              <w:t>原材料采购</w:t>
            </w:r>
            <w:r>
              <w:rPr>
                <w:rFonts w:hint="eastAsia" w:ascii="MS Mincho" w:hAnsi="MS Mincho" w:eastAsia="MS Mincho" w:cs="MS Mincho"/>
                <w:szCs w:val="21"/>
              </w:rPr>
              <w:t>➙</w:t>
            </w:r>
            <w:r>
              <w:t>智能开关柜</w:t>
            </w:r>
            <w:r>
              <w:rPr>
                <w:rFonts w:hint="eastAsia"/>
                <w:lang w:val="en-US" w:eastAsia="zh-CN"/>
              </w:rPr>
              <w:t>生产</w:t>
            </w:r>
            <w:r>
              <w:rPr>
                <w:rFonts w:hint="eastAsia" w:ascii="MS Mincho" w:hAnsi="MS Mincho" w:eastAsia="MS Mincho" w:cs="MS Mincho"/>
                <w:szCs w:val="21"/>
              </w:rPr>
              <w:t xml:space="preserve"> ➙</w:t>
            </w:r>
            <w:r>
              <w:rPr>
                <w:rFonts w:hint="eastAsia" w:asciiTheme="minorEastAsia" w:hAnsiTheme="minorEastAsia" w:eastAsiaTheme="minorEastAsia" w:cstheme="minorEastAsia"/>
                <w:szCs w:val="21"/>
              </w:rPr>
              <w:t>调试</w:t>
            </w:r>
            <w:r>
              <w:rPr>
                <w:rFonts w:hint="eastAsia" w:ascii="MS Mincho" w:hAnsi="MS Mincho" w:eastAsia="MS Mincho" w:cs="MS Mincho"/>
                <w:szCs w:val="21"/>
              </w:rPr>
              <w:t>➙</w:t>
            </w:r>
            <w:r>
              <w:rPr>
                <w:rFonts w:hint="eastAsia" w:cs="MS Mincho" w:asciiTheme="minorEastAsia" w:hAnsiTheme="minorEastAsia" w:eastAsiaTheme="minorEastAsia"/>
                <w:szCs w:val="21"/>
              </w:rPr>
              <w:t>交付</w:t>
            </w:r>
            <w:r>
              <w:rPr>
                <w:rFonts w:hint="eastAsia" w:ascii="MS Mincho" w:hAnsi="MS Mincho" w:eastAsia="MS Mincho" w:cs="MS Mincho"/>
                <w:szCs w:val="21"/>
              </w:rPr>
              <w:t>➙</w:t>
            </w:r>
            <w:r>
              <w:rPr>
                <w:rFonts w:hint="eastAsia" w:asciiTheme="minorEastAsia" w:hAnsiTheme="minorEastAsia" w:eastAsiaTheme="minorEastAsia" w:cstheme="minorEastAsia"/>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rPr>
              <w:t>MOS板测试</w:t>
            </w:r>
            <w:r>
              <w:rPr>
                <w:rFonts w:hint="eastAsia"/>
                <w:lang w:eastAsia="zh-CN"/>
              </w:rPr>
              <w:t>，</w:t>
            </w:r>
            <w:r>
              <w:rPr>
                <w:rFonts w:hint="eastAsia"/>
              </w:rPr>
              <w:t>主控板测试</w:t>
            </w:r>
            <w:r>
              <w:rPr>
                <w:rFonts w:hint="eastAsia"/>
                <w:lang w:eastAsia="zh-CN"/>
              </w:rPr>
              <w:t>，</w:t>
            </w:r>
            <w:r>
              <w:rPr>
                <w:rFonts w:hint="eastAsia"/>
              </w:rPr>
              <w:t>组合测试</w:t>
            </w:r>
            <w:r>
              <w:rPr>
                <w:rFonts w:hint="eastAsia"/>
                <w:lang w:eastAsia="zh-CN"/>
              </w:rPr>
              <w:t>，</w:t>
            </w:r>
            <w:r>
              <w:rPr>
                <w:rFonts w:hint="eastAsia"/>
                <w:lang w:val="en-US" w:eastAsia="zh-CN"/>
              </w:rPr>
              <w:t>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作业指导书，设计开发控制程序</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物流运输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color w:val="000000"/>
                <w:u w:val="single"/>
              </w:rPr>
              <w:t>大功率直流稳压电源</w:t>
            </w:r>
            <w:r>
              <w:rPr>
                <w:rFonts w:hint="eastAsia"/>
                <w:color w:val="000000"/>
                <w:u w:val="single"/>
                <w:lang w:val="en-US" w:eastAsia="zh-CN"/>
              </w:rPr>
              <w:t>/加载控制器/电涡流制动器/</w:t>
            </w:r>
            <w:r>
              <w:rPr>
                <w:sz w:val="24"/>
                <w:u w:val="single"/>
              </w:rPr>
              <w:t>生产线</w:t>
            </w:r>
            <w:r>
              <w:rPr>
                <w:rFonts w:hint="eastAsia"/>
                <w:sz w:val="24"/>
                <w:u w:val="single"/>
                <w:lang w:eastAsia="zh-CN"/>
              </w:rPr>
              <w:t>（</w:t>
            </w:r>
            <w:r>
              <w:rPr>
                <w:rFonts w:hint="eastAsia"/>
                <w:sz w:val="24"/>
                <w:u w:val="single"/>
                <w:lang w:val="en-US" w:eastAsia="zh-CN"/>
              </w:rPr>
              <w:t>10米）</w:t>
            </w:r>
            <w:r>
              <w:rPr>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olor w:val="000000"/>
                <w:u w:val="single"/>
              </w:rPr>
              <w:t>万用表</w:t>
            </w:r>
            <w:r>
              <w:rPr>
                <w:rFonts w:hint="eastAsia"/>
                <w:color w:val="000000"/>
                <w:u w:val="single"/>
                <w:lang w:val="en-US" w:eastAsia="zh-CN"/>
              </w:rPr>
              <w:t>/绝缘表/钳流表/游标卡尺/稳压稳流开关电源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 生产</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auto"/>
                <w:kern w:val="0"/>
              </w:rPr>
              <w:t>公司于20</w:t>
            </w:r>
            <w:r>
              <w:rPr>
                <w:rFonts w:hint="eastAsia" w:ascii="宋体" w:hAnsi="宋体"/>
                <w:color w:val="auto"/>
                <w:kern w:val="0"/>
                <w:lang w:val="en-US" w:eastAsia="zh-CN"/>
              </w:rPr>
              <w:t>19</w:t>
            </w:r>
            <w:r>
              <w:rPr>
                <w:rFonts w:hint="eastAsia" w:ascii="宋体" w:hAnsi="宋体"/>
                <w:color w:val="auto"/>
                <w:kern w:val="0"/>
              </w:rPr>
              <w:t>.</w:t>
            </w:r>
            <w:r>
              <w:rPr>
                <w:rFonts w:hint="eastAsia" w:ascii="宋体" w:hAnsi="宋体"/>
                <w:color w:val="auto"/>
                <w:kern w:val="0"/>
                <w:lang w:val="en-US" w:eastAsia="zh-CN"/>
              </w:rPr>
              <w:t>12</w:t>
            </w:r>
            <w:r>
              <w:rPr>
                <w:rFonts w:hint="eastAsia" w:ascii="宋体" w:hAnsi="宋体"/>
                <w:color w:val="auto"/>
                <w:kern w:val="0"/>
              </w:rPr>
              <w:t>.</w:t>
            </w:r>
            <w:r>
              <w:rPr>
                <w:rFonts w:hint="eastAsia" w:ascii="宋体" w:hAnsi="宋体"/>
                <w:color w:val="auto"/>
                <w:kern w:val="0"/>
                <w:lang w:val="en-US" w:eastAsia="zh-CN"/>
              </w:rPr>
              <w:t>20</w:t>
            </w:r>
            <w:r>
              <w:rPr>
                <w:rFonts w:hint="eastAsia" w:ascii="宋体" w:hAnsi="宋体"/>
                <w:color w:val="auto"/>
                <w:kern w:val="0"/>
              </w:rPr>
              <w:t>进行一次内审，提供了内审计划、内审记录、不符合报告、内审报告等，发现了QMS：不符合项</w:t>
            </w:r>
            <w:r>
              <w:rPr>
                <w:rFonts w:hint="eastAsia" w:ascii="宋体" w:hAnsi="宋体"/>
                <w:color w:val="auto"/>
                <w:kern w:val="0"/>
                <w:lang w:val="en-US" w:eastAsia="zh-CN"/>
              </w:rPr>
              <w:t>1</w:t>
            </w:r>
            <w:r>
              <w:rPr>
                <w:rFonts w:hint="eastAsia" w:ascii="宋体" w:hAnsi="宋体"/>
                <w:color w:val="auto"/>
                <w:kern w:val="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olor w:val="auto"/>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ascii="宋体" w:hAnsi="宋体"/>
                <w:b/>
                <w:color w:val="auto"/>
                <w:sz w:val="20"/>
                <w:szCs w:val="20"/>
              </w:rPr>
              <w:t xml:space="preserve"> </w:t>
            </w:r>
            <w:r>
              <w:rPr>
                <w:rFonts w:hint="eastAsia" w:ascii="宋体" w:hAnsi="宋体"/>
                <w:color w:val="auto"/>
                <w:kern w:val="0"/>
              </w:rPr>
              <w:t>20</w:t>
            </w:r>
            <w:r>
              <w:rPr>
                <w:rFonts w:hint="eastAsia" w:ascii="宋体" w:hAnsi="宋体"/>
                <w:color w:val="auto"/>
                <w:kern w:val="0"/>
                <w:lang w:val="en-US" w:eastAsia="zh-CN"/>
              </w:rPr>
              <w:t>20</w:t>
            </w:r>
            <w:r>
              <w:rPr>
                <w:rFonts w:hint="eastAsia" w:ascii="宋体" w:hAnsi="宋体"/>
                <w:color w:val="auto"/>
                <w:kern w:val="0"/>
              </w:rPr>
              <w:t>.</w:t>
            </w:r>
            <w:r>
              <w:rPr>
                <w:rFonts w:hint="eastAsia" w:ascii="宋体" w:hAnsi="宋体"/>
                <w:color w:val="auto"/>
                <w:kern w:val="0"/>
                <w:lang w:val="en-US" w:eastAsia="zh-CN"/>
              </w:rPr>
              <w:t>1</w:t>
            </w:r>
            <w:r>
              <w:rPr>
                <w:rFonts w:hint="eastAsia" w:ascii="宋体" w:hAnsi="宋体"/>
                <w:color w:val="auto"/>
                <w:kern w:val="0"/>
              </w:rPr>
              <w:t>.</w:t>
            </w:r>
            <w:r>
              <w:rPr>
                <w:rFonts w:hint="eastAsia" w:ascii="宋体" w:hAnsi="宋体"/>
                <w:color w:val="auto"/>
                <w:kern w:val="0"/>
                <w:lang w:val="en-US" w:eastAsia="zh-CN"/>
              </w:rPr>
              <w:t>15</w:t>
            </w:r>
            <w:r>
              <w:rPr>
                <w:rFonts w:hint="eastAsia" w:ascii="宋体" w:hAnsi="宋体"/>
                <w:color w:val="auto"/>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基本符合要求</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b w:val="0"/>
          <w:bCs/>
          <w:color w:val="000000"/>
          <w:sz w:val="20"/>
          <w:szCs w:val="20"/>
          <w:u w:val="single"/>
        </w:rPr>
        <w:t>智能开关柜、控制器开发、制造（3C许可范围内除外）</w:t>
      </w:r>
      <w:r>
        <w:rPr>
          <w:rFonts w:ascii="宋体" w:hAnsi="宋体"/>
          <w:b/>
          <w:color w:val="000000"/>
          <w:sz w:val="20"/>
          <w:szCs w:val="20"/>
        </w:rPr>
        <w:t>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-191770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400" w:lineRule="exact"/>
        <w:ind w:firstLine="840" w:firstLineChars="400"/>
        <w:rPr>
          <w:rFonts w:ascii="宋体"/>
          <w:b/>
          <w:color w:val="000000"/>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1976120</wp:posOffset>
            </wp:positionH>
            <wp:positionV relativeFrom="paragraph">
              <wp:posOffset>62230</wp:posOffset>
            </wp:positionV>
            <wp:extent cx="912495" cy="513080"/>
            <wp:effectExtent l="0" t="0" r="0" b="1270"/>
            <wp:wrapSquare wrapText="bothSides"/>
            <wp:docPr id="3" name="图片 3"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韦春喜"/>
                    <pic:cNvPicPr>
                      <a:picLocks noChangeAspect="1"/>
                    </pic:cNvPicPr>
                  </pic:nvPicPr>
                  <pic:blipFill>
                    <a:blip r:embed="rId7"/>
                    <a:stretch>
                      <a:fillRect/>
                    </a:stretch>
                  </pic:blipFill>
                  <pic:spPr>
                    <a:xfrm>
                      <a:off x="0" y="0"/>
                      <a:ext cx="912495" cy="51308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2020-04-01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法律法规识别不全面</w:t>
            </w:r>
          </w:p>
        </w:tc>
        <w:tc>
          <w:tcPr>
            <w:tcW w:w="1688" w:type="dxa"/>
            <w:vAlign w:val="top"/>
          </w:tcPr>
          <w:p>
            <w:pPr>
              <w:spacing w:before="40" w:after="40"/>
              <w:rPr>
                <w:color w:val="000000"/>
                <w:sz w:val="32"/>
                <w:szCs w:val="32"/>
              </w:rPr>
            </w:pPr>
            <w:r>
              <w:rPr>
                <w:rFonts w:hint="eastAsia" w:ascii="宋体" w:hAnsi="宋体"/>
                <w:sz w:val="21"/>
                <w:lang w:val="en-US" w:eastAsia="zh-CN"/>
              </w:rPr>
              <w:t>7.1.6</w:t>
            </w:r>
          </w:p>
        </w:tc>
        <w:tc>
          <w:tcPr>
            <w:tcW w:w="1811" w:type="dxa"/>
            <w:vAlign w:val="top"/>
          </w:tcPr>
          <w:p>
            <w:pPr>
              <w:spacing w:before="40" w:after="40"/>
              <w:rPr>
                <w:rFonts w:hint="default" w:eastAsia="宋体"/>
                <w:sz w:val="21"/>
                <w:lang w:val="en-US" w:eastAsia="zh-CN"/>
              </w:rPr>
            </w:pPr>
            <w:r>
              <w:rPr>
                <w:rFonts w:hint="eastAsia"/>
                <w:sz w:val="21"/>
                <w:lang w:val="en-US" w:eastAsia="zh-CN"/>
              </w:rPr>
              <w:t>与认证范围不一致</w:t>
            </w: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2</w:t>
            </w:r>
          </w:p>
        </w:tc>
        <w:tc>
          <w:tcPr>
            <w:tcW w:w="5681" w:type="dxa"/>
            <w:vAlign w:val="top"/>
          </w:tcPr>
          <w:p>
            <w:pPr>
              <w:spacing w:before="40" w:after="40"/>
              <w:rPr>
                <w:color w:val="000000"/>
                <w:sz w:val="24"/>
                <w:szCs w:val="24"/>
              </w:rPr>
            </w:pPr>
            <w:r>
              <w:rPr>
                <w:rFonts w:hint="eastAsia" w:ascii="宋体" w:hAnsi="宋体"/>
                <w:sz w:val="21"/>
                <w:lang w:val="en-US" w:eastAsia="zh-CN"/>
              </w:rPr>
              <w:t>未提供计量设备校准报告</w:t>
            </w:r>
          </w:p>
        </w:tc>
        <w:tc>
          <w:tcPr>
            <w:tcW w:w="1688" w:type="dxa"/>
            <w:vAlign w:val="top"/>
          </w:tcPr>
          <w:p>
            <w:pPr>
              <w:spacing w:before="120" w:line="340" w:lineRule="exact"/>
              <w:rPr>
                <w:rFonts w:hint="eastAsia" w:ascii="宋体" w:hAnsi="宋体" w:eastAsia="宋体"/>
                <w:szCs w:val="21"/>
                <w:lang w:eastAsia="zh-CN"/>
              </w:rPr>
            </w:pPr>
            <w:r>
              <w:rPr>
                <w:rFonts w:ascii="宋体" w:hAnsi="宋体"/>
                <w:szCs w:val="21"/>
              </w:rPr>
              <w:t>Q7.1.</w:t>
            </w:r>
            <w:r>
              <w:rPr>
                <w:rFonts w:hint="eastAsia" w:ascii="宋体" w:hAnsi="宋体"/>
                <w:szCs w:val="21"/>
                <w:lang w:val="en-US" w:eastAsia="zh-CN"/>
              </w:rPr>
              <w:t>5</w:t>
            </w:r>
          </w:p>
          <w:p>
            <w:pPr>
              <w:spacing w:before="40" w:after="40"/>
              <w:rPr>
                <w:color w:val="000000"/>
                <w:sz w:val="32"/>
                <w:szCs w:val="32"/>
              </w:rPr>
            </w:pPr>
          </w:p>
        </w:tc>
        <w:tc>
          <w:tcPr>
            <w:tcW w:w="1811" w:type="dxa"/>
            <w:vAlign w:val="top"/>
          </w:tcPr>
          <w:p>
            <w:pPr>
              <w:spacing w:before="40" w:after="40"/>
              <w:rPr>
                <w:rFonts w:hint="eastAsia"/>
                <w:sz w:val="21"/>
              </w:rPr>
            </w:pPr>
          </w:p>
          <w:p>
            <w:pPr>
              <w:spacing w:before="40" w:after="40"/>
              <w:rPr>
                <w:rFonts w:hint="eastAsia" w:eastAsia="宋体"/>
                <w:sz w:val="21"/>
                <w:lang w:val="en-US" w:eastAsia="zh-CN"/>
              </w:rPr>
            </w:pPr>
            <w:r>
              <w:rPr>
                <w:rFonts w:hint="eastAsia"/>
                <w:sz w:val="21"/>
                <w:lang w:val="en-US" w:eastAsia="zh-CN"/>
              </w:rPr>
              <w:t>报告不全</w:t>
            </w:r>
          </w:p>
          <w:p>
            <w:pPr>
              <w:spacing w:before="40" w:after="40"/>
              <w:rPr>
                <w:rFonts w:hint="eastAsia"/>
                <w:sz w:val="21"/>
              </w:rPr>
            </w:pP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default" w:eastAsia="宋体"/>
                <w:sz w:val="21"/>
                <w:szCs w:val="21"/>
                <w:lang w:val="en-US" w:eastAsia="zh-CN"/>
              </w:rPr>
              <w:drawing>
                <wp:anchor distT="0" distB="0" distL="114300" distR="114300" simplePos="0" relativeHeight="251665408" behindDoc="0" locked="0" layoutInCell="1" allowOverlap="1">
                  <wp:simplePos x="0" y="0"/>
                  <wp:positionH relativeFrom="column">
                    <wp:posOffset>1510665</wp:posOffset>
                  </wp:positionH>
                  <wp:positionV relativeFrom="paragraph">
                    <wp:posOffset>67310</wp:posOffset>
                  </wp:positionV>
                  <wp:extent cx="706755" cy="397510"/>
                  <wp:effectExtent l="0" t="0" r="17145" b="2540"/>
                  <wp:wrapSquare wrapText="bothSides"/>
                  <wp:docPr id="4" name="图片 4"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韦春喜"/>
                          <pic:cNvPicPr>
                            <a:picLocks noChangeAspect="1"/>
                          </pic:cNvPicPr>
                        </pic:nvPicPr>
                        <pic:blipFill>
                          <a:blip r:embed="rId7"/>
                          <a:stretch>
                            <a:fillRect/>
                          </a:stretch>
                        </pic:blipFill>
                        <pic:spPr>
                          <a:xfrm>
                            <a:off x="0" y="0"/>
                            <a:ext cx="706755" cy="39751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721995</wp:posOffset>
                  </wp:positionH>
                  <wp:positionV relativeFrom="paragraph">
                    <wp:posOffset>23495</wp:posOffset>
                  </wp:positionV>
                  <wp:extent cx="514350" cy="371475"/>
                  <wp:effectExtent l="0" t="0" r="0" b="9525"/>
                  <wp:wrapSquare wrapText="bothSides"/>
                  <wp:docPr id="5"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04</w:t>
            </w:r>
            <w:r>
              <w:rPr>
                <w:rFonts w:hint="eastAsia"/>
                <w:b/>
                <w:color w:val="000000"/>
                <w:sz w:val="22"/>
                <w:szCs w:val="22"/>
              </w:rPr>
              <w:t>月</w:t>
            </w:r>
            <w:r>
              <w:rPr>
                <w:rFonts w:hint="eastAsia"/>
                <w:b/>
                <w:color w:val="000000"/>
                <w:sz w:val="22"/>
                <w:szCs w:val="22"/>
                <w:lang w:val="en-US" w:eastAsia="zh-CN"/>
              </w:rPr>
              <w:t>01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default" w:eastAsia="宋体"/>
                <w:sz w:val="21"/>
                <w:szCs w:val="21"/>
                <w:lang w:val="en-US" w:eastAsia="zh-CN"/>
              </w:rPr>
              <w:drawing>
                <wp:anchor distT="0" distB="0" distL="114300" distR="114300" simplePos="0" relativeHeight="251671552" behindDoc="0" locked="0" layoutInCell="1" allowOverlap="1">
                  <wp:simplePos x="0" y="0"/>
                  <wp:positionH relativeFrom="column">
                    <wp:posOffset>726440</wp:posOffset>
                  </wp:positionH>
                  <wp:positionV relativeFrom="paragraph">
                    <wp:posOffset>59055</wp:posOffset>
                  </wp:positionV>
                  <wp:extent cx="514350" cy="371475"/>
                  <wp:effectExtent l="0" t="0" r="0" b="9525"/>
                  <wp:wrapSquare wrapText="bothSides"/>
                  <wp:docPr id="6"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04</w:t>
            </w:r>
            <w:r>
              <w:rPr>
                <w:rFonts w:hint="eastAsia"/>
                <w:b/>
                <w:color w:val="000000"/>
                <w:sz w:val="22"/>
                <w:szCs w:val="22"/>
              </w:rPr>
              <w:t>月</w:t>
            </w:r>
            <w:r>
              <w:rPr>
                <w:rFonts w:hint="eastAsia"/>
                <w:b/>
                <w:color w:val="000000"/>
                <w:sz w:val="22"/>
                <w:szCs w:val="22"/>
                <w:lang w:val="en-US" w:eastAsia="zh-CN"/>
              </w:rPr>
              <w:t>01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B4AF1"/>
    <w:rsid w:val="2F237C8E"/>
    <w:rsid w:val="4D2938A9"/>
    <w:rsid w:val="5C8034B8"/>
    <w:rsid w:val="7D564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2020-04-10T00:11:32Z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