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9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759" w:type="dxa"/>
            <w:vAlign w:val="center"/>
          </w:tcPr>
          <w:p>
            <w:pPr>
              <w:spacing w:beforeLines="25" w:afterLines="2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受审核部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品质部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车间现场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朱训涛、 管理者代表：徐世恩     </w:t>
            </w:r>
          </w:p>
          <w:p>
            <w:pPr>
              <w:spacing w:beforeLines="25" w:afterLines="25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陪同人员：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生产部高起松  、 综合部梁明、供销部李宝伶、 品质部高焕信等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spacing w:before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王志慧            </w:t>
            </w:r>
            <w:r>
              <w:rPr>
                <w:rFonts w:hint="eastAsia"/>
                <w:sz w:val="21"/>
                <w:szCs w:val="21"/>
              </w:rPr>
              <w:t>审核时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间：2020年4月2日</w:t>
            </w:r>
          </w:p>
        </w:tc>
        <w:tc>
          <w:tcPr>
            <w:tcW w:w="830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略</w:t>
            </w:r>
          </w:p>
        </w:tc>
        <w:tc>
          <w:tcPr>
            <w:tcW w:w="830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受审核方基本信息确认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59" w:type="dxa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面谈人员：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总经理朱训涛、 管理者代表徐世恩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陪同人员：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吕石</w:t>
            </w:r>
          </w:p>
          <w:p>
            <w:pPr>
              <w:pStyle w:val="2"/>
              <w:ind w:firstLine="46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营口博瑞电气有限公司成立于2009年12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11日，坐落于辽宁省营口市老边区兴昌街43号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电力、电气绝缘配件、机车配件的加工；变压器、通风机的维修。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 xml:space="preserve">提供该公司《管理手册》，对公司地理位置、国内市场地位、法律法规要求、公司内部文化观价值观、内外部环境变化等均作出描述。 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 w:ascii="宋体" w:hAnsi="宋体" w:cs="宋体"/>
                <w:sz w:val="21"/>
                <w:szCs w:val="21"/>
              </w:rPr>
              <w:t>经现场确认受审核方的管理体系范围无变化为：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Q：</w:t>
            </w:r>
            <w:bookmarkStart w:id="0" w:name="审核范围"/>
            <w:r>
              <w:rPr>
                <w:color w:val="auto"/>
                <w:sz w:val="21"/>
                <w:szCs w:val="21"/>
              </w:rPr>
              <w:t>电力、电气绝缘配件、机车配件的加工；变压器、通风机的维修</w:t>
            </w:r>
            <w:bookmarkEnd w:id="0"/>
          </w:p>
        </w:tc>
        <w:tc>
          <w:tcPr>
            <w:tcW w:w="830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组织机构（如部门设置和负责人，服务过程）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5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质量环境职业</w:t>
            </w:r>
            <w:r>
              <w:rPr>
                <w:rFonts w:hint="eastAsia" w:ascii="宋体" w:hAnsi="宋体" w:cs="宋体"/>
                <w:sz w:val="21"/>
                <w:szCs w:val="21"/>
              </w:rPr>
              <w:t>健康安全管理体系于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组织从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2019年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月1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开始运行管理体系，组织了内审员培训，识别了生产的过程及其相互关系，受审核方提供《管理手册》，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程序文件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内审、管评文件等；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组织机构：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含车间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品质部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据负责人曾超荣介绍公司管理体系运行已超三个月。对部门及其职责进行了规定，编制了岗位职责汇编，以文件上发的形式沟通各部门的职责及各部门之间工作的联系。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总经理主要负责公司全面工作，负责组织制定方针、目标，管理评审等工作；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管代主要负责体系管理工作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83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60" w:type="dxa"/>
          </w:tcPr>
          <w:p>
            <w:pPr>
              <w:spacing w:line="40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风险和机遇的识别、企业内外部环境分析及相关方的需求和知识</w:t>
            </w:r>
            <w:bookmarkStart w:id="1" w:name="_GoBack"/>
            <w:bookmarkEnd w:id="1"/>
          </w:p>
        </w:tc>
        <w:tc>
          <w:tcPr>
            <w:tcW w:w="960" w:type="dxa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0759" w:type="dxa"/>
          </w:tcPr>
          <w:p>
            <w:pPr>
              <w:ind w:firstLine="420" w:firstLineChars="20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公司制定管理手册中，明确风险和机遇事件的识别方法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途径、风险和机遇事件的评估方式、制定主要风险和机遇事件的应对措施的要求、评价这些措施有效性的方法。</w:t>
            </w:r>
          </w:p>
          <w:p>
            <w:pPr>
              <w:ind w:firstLine="420" w:firstLineChars="200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制定了风险和机遇分析、评价和应对措施的确定程序，提供“风险与机遇评价与应对策划表”，按照生产销售、采购、支持过程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部门对风险和机遇进行了评价识别，并制定应对措施。二阶段详查。</w:t>
            </w:r>
          </w:p>
        </w:tc>
        <w:tc>
          <w:tcPr>
            <w:tcW w:w="83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方针、目标、指标和方案情况</w:t>
            </w:r>
          </w:p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管理方针：</w:t>
            </w: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</w:rPr>
              <w:t>质量第一，用户至上，恪守信誉，竭诚服务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方针在管理手册中予以规定，经总经理批准实施。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公司质量目标：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1、产品一次交验合格率≥98%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2、出厂合格率100%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3、顾客满意率≥97% </w:t>
            </w:r>
          </w:p>
          <w:p>
            <w:pPr>
              <w:pStyle w:val="2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查2019年第四季度目标达成，编制梁明，审批朱训涛， 时间：2019.12.31</w:t>
            </w:r>
          </w:p>
        </w:tc>
        <w:tc>
          <w:tcPr>
            <w:tcW w:w="0" w:type="auto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0" w:type="auto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内审情况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</w:t>
            </w:r>
          </w:p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公司于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2019年12月15-16日</w:t>
            </w:r>
            <w:r>
              <w:rPr>
                <w:rFonts w:hint="eastAsia" w:ascii="宋体" w:hAnsi="宋体" w:cs="宋体"/>
                <w:sz w:val="21"/>
                <w:szCs w:val="21"/>
              </w:rPr>
              <w:t>开展内部审核</w:t>
            </w:r>
            <w:r>
              <w:rPr>
                <w:rFonts w:hint="eastAsia"/>
                <w:sz w:val="21"/>
                <w:szCs w:val="21"/>
              </w:rPr>
              <w:t>进行一次内审，提供了内审计划、内审记录、不符合报告、内审报告等，发现了不符合项，具体内容，二阶段进一步审核。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2019年12月20日</w:t>
            </w:r>
            <w:r>
              <w:rPr>
                <w:rFonts w:hint="eastAsia"/>
                <w:sz w:val="21"/>
                <w:szCs w:val="21"/>
              </w:rPr>
              <w:t>召开了管理评审会议，由总经理主持。提供管理评审报告，具体内容，二阶段进一步审核。</w:t>
            </w:r>
          </w:p>
        </w:tc>
        <w:tc>
          <w:tcPr>
            <w:tcW w:w="0" w:type="auto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产品和服务的运行策划和控制</w:t>
            </w:r>
          </w:p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需确认过程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Q：8.1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0759" w:type="dxa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建立了</w:t>
            </w:r>
            <w:r>
              <w:rPr>
                <w:rFonts w:hint="eastAsia"/>
                <w:sz w:val="21"/>
                <w:szCs w:val="21"/>
              </w:rPr>
              <w:t>质量目标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/>
                <w:sz w:val="21"/>
                <w:szCs w:val="21"/>
              </w:rPr>
              <w:t>收集的相关法律法规：产品质量法、合同法、</w:t>
            </w:r>
            <w:r>
              <w:rPr>
                <w:rFonts w:hint="eastAsia"/>
                <w:sz w:val="21"/>
                <w:szCs w:val="21"/>
                <w:lang w:eastAsia="zh-CN"/>
              </w:rPr>
              <w:t>标准化法、招标投标</w:t>
            </w:r>
            <w:r>
              <w:rPr>
                <w:rFonts w:hint="eastAsia"/>
                <w:sz w:val="21"/>
                <w:szCs w:val="21"/>
              </w:rPr>
              <w:t>法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劳动法、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劳动合同法</w:t>
            </w:r>
            <w:r>
              <w:rPr>
                <w:rFonts w:hint="default"/>
                <w:sz w:val="21"/>
                <w:szCs w:val="21"/>
              </w:rPr>
              <w:t>等</w:t>
            </w:r>
            <w:r>
              <w:rPr>
                <w:rFonts w:hint="default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二阶段详查。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询问了解的产品和服务实现流程为：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2.1电力、电气、机车配件的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加工工艺流程：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下料</w:t>
            </w:r>
            <w:r>
              <w:rPr>
                <w:rFonts w:hint="default" w:ascii="Arial" w:hAnsi="Arial" w:cs="Arial" w:eastAsiaTheme="minorEastAsia"/>
                <w:color w:val="000000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粗车</w:t>
            </w:r>
            <w:r>
              <w:rPr>
                <w:rFonts w:hint="default" w:ascii="Arial" w:hAnsi="Arial" w:cs="Arial" w:eastAsiaTheme="minorEastAsia"/>
                <w:color w:val="000000"/>
                <w:sz w:val="21"/>
                <w:szCs w:val="21"/>
              </w:rPr>
              <w:t>→</w:t>
            </w:r>
            <w:r>
              <w:rPr>
                <w:rFonts w:hint="eastAsia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  <w:t>精车</w:t>
            </w:r>
            <w:r>
              <w:rPr>
                <w:rFonts w:hint="default" w:ascii="Arial" w:hAnsi="Arial" w:cs="Arial" w:eastAsiaTheme="minorEastAsia"/>
                <w:color w:val="000000"/>
                <w:sz w:val="21"/>
                <w:szCs w:val="21"/>
              </w:rPr>
              <w:t>→</w:t>
            </w:r>
            <w:r>
              <w:rPr>
                <w:rFonts w:hint="eastAsia" w:ascii="Arial" w:hAnsi="Arial" w:cs="Arial" w:eastAsiaTheme="minorEastAsia"/>
                <w:color w:val="000000"/>
                <w:sz w:val="21"/>
                <w:szCs w:val="21"/>
                <w:lang w:val="en-US" w:eastAsia="zh-CN"/>
              </w:rPr>
              <w:t>钻孔</w:t>
            </w:r>
            <w:r>
              <w:rPr>
                <w:rFonts w:hint="default" w:ascii="Arial" w:hAnsi="Arial" w:cs="Arial" w:eastAsiaTheme="minorEastAsia"/>
                <w:color w:val="000000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检查</w:t>
            </w:r>
            <w:r>
              <w:rPr>
                <w:rFonts w:hint="default" w:ascii="Arial" w:hAnsi="Arial" w:cs="Arial" w:eastAsiaTheme="minorEastAsia"/>
                <w:color w:val="000000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入库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需确认过程：无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2电力、电气绝缘配件加工工艺流程：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拌料</w:t>
            </w:r>
            <w:r>
              <w:rPr>
                <w:rFonts w:hint="default" w:ascii="Arial" w:hAnsi="Arial" w:cs="Arial" w:eastAsiaTheme="minorEastAsia"/>
                <w:color w:val="auto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烘干</w:t>
            </w:r>
            <w:r>
              <w:rPr>
                <w:rFonts w:hint="default" w:ascii="Arial" w:hAnsi="Arial" w:cs="Arial" w:eastAsiaTheme="minorEastAsia"/>
                <w:color w:val="auto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注塑</w:t>
            </w:r>
            <w:r>
              <w:rPr>
                <w:rFonts w:hint="default" w:ascii="Arial" w:hAnsi="Arial" w:cs="Arial" w:eastAsiaTheme="minorEastAsia"/>
                <w:color w:val="auto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修整</w:t>
            </w:r>
            <w:r>
              <w:rPr>
                <w:rFonts w:hint="default" w:ascii="Arial" w:hAnsi="Arial" w:cs="Arial" w:eastAsiaTheme="minorEastAsia"/>
                <w:color w:val="auto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检验</w:t>
            </w:r>
            <w:r>
              <w:rPr>
                <w:rFonts w:hint="default" w:ascii="Arial" w:hAnsi="Arial" w:cs="Arial" w:eastAsiaTheme="minorEastAsia"/>
                <w:color w:val="auto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入库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关键过程/需确认过程：拌料过程、注塑过程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2.3变压器、通风机的维修。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客户反馈→接收信息→检查→拆卸→更换组件→组装→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调试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客户验收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关键过程：调试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160" w:type="dxa"/>
            <w:vAlign w:val="top"/>
          </w:tcPr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基础设施</w:t>
            </w:r>
          </w:p>
        </w:tc>
        <w:tc>
          <w:tcPr>
            <w:tcW w:w="960" w:type="dxa"/>
            <w:vAlign w:val="top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Q：7.1.3</w:t>
            </w:r>
          </w:p>
        </w:tc>
        <w:tc>
          <w:tcPr>
            <w:tcW w:w="1075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配备有</w:t>
            </w: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等基础设施，主要设</w:t>
            </w:r>
            <w:r>
              <w:rPr>
                <w:rFonts w:hint="eastAsia"/>
                <w:sz w:val="21"/>
                <w:szCs w:val="21"/>
                <w:lang w:eastAsia="zh-CN"/>
              </w:rPr>
              <w:t>施：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环氧成型机、注塑机、车床、钻铣机床、压力机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缠绕机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等，基本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满足生产需求。</w:t>
            </w:r>
          </w:p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无特种设备。（变压器、风机等维修在客户处，客户提供基础设备及检测计量设备）。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二阶段详查。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0" w:type="dxa"/>
            <w:vAlign w:val="top"/>
          </w:tcPr>
          <w:p>
            <w:pPr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工作环境</w:t>
            </w:r>
          </w:p>
        </w:tc>
        <w:tc>
          <w:tcPr>
            <w:tcW w:w="960" w:type="dxa"/>
            <w:vAlign w:val="top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Q：7.1.4</w:t>
            </w:r>
          </w:p>
        </w:tc>
        <w:tc>
          <w:tcPr>
            <w:tcW w:w="10759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生产部有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4个车间，一个仓库。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车间宽敞明亮，干净整洁，分割区划分得当，通道畅通。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0" w:type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监视和测量资源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Q：7.1.5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主要监视和测量设备有</w:t>
            </w:r>
            <w:r>
              <w:rPr>
                <w:rFonts w:hint="default"/>
              </w:rPr>
              <w:t>检测设备主要有：游标卡尺、</w:t>
            </w:r>
            <w:r>
              <w:rPr>
                <w:rFonts w:hint="eastAsia"/>
                <w:lang w:val="en-US" w:eastAsia="zh-CN"/>
              </w:rPr>
              <w:t>电子秤、</w:t>
            </w:r>
            <w:r>
              <w:rPr>
                <w:rFonts w:hint="eastAsia"/>
              </w:rPr>
              <w:t>兆欧表、温度仪（表）、压力表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另</w:t>
            </w:r>
            <w:r>
              <w:rPr>
                <w:rFonts w:hint="eastAsia"/>
              </w:rPr>
              <w:t>对服务质量进行检查、对顾客满意度进行调查，制定了对应表格。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二阶段详查。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观察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公司总部</w:t>
            </w:r>
            <w:r>
              <w:rPr>
                <w:rFonts w:hint="eastAsia"/>
                <w:sz w:val="21"/>
                <w:szCs w:val="21"/>
              </w:rPr>
              <w:t>办公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划分各部门区域</w:t>
            </w:r>
            <w:r>
              <w:rPr>
                <w:rFonts w:hint="eastAsia"/>
                <w:sz w:val="21"/>
                <w:szCs w:val="21"/>
              </w:rPr>
              <w:t>，工作环境良好</w:t>
            </w:r>
            <w:r>
              <w:rPr>
                <w:rFonts w:hint="eastAsia" w:cs="宋体"/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  <w:lang w:val="en-GB"/>
              </w:rPr>
              <w:t>查看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车间</w:t>
            </w:r>
            <w:r>
              <w:rPr>
                <w:rFonts w:hint="eastAsia"/>
                <w:sz w:val="21"/>
                <w:szCs w:val="21"/>
                <w:lang w:val="en-GB"/>
              </w:rPr>
              <w:t>设备摆放整齐有序，相应物品摆放在指定区域，现场工作环境通风良好，卫生干净，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基本符合</w:t>
            </w:r>
            <w:r>
              <w:rPr>
                <w:rFonts w:hint="eastAsia"/>
                <w:sz w:val="21"/>
                <w:szCs w:val="21"/>
                <w:lang w:val="en-GB"/>
              </w:rPr>
              <w:t>要求</w:t>
            </w:r>
            <w:r>
              <w:rPr>
                <w:rFonts w:hint="eastAsia"/>
                <w:sz w:val="21"/>
                <w:szCs w:val="21"/>
                <w:lang w:val="en-GB" w:eastAsia="zh-CN"/>
              </w:rPr>
              <w:t>。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国家/地方抽查、顾客满意、相关方投诉处理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验证资质</w:t>
            </w:r>
          </w:p>
        </w:tc>
        <w:tc>
          <w:tcPr>
            <w:tcW w:w="0" w:type="auto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自公司成立以来，未受到上级主管部门有关质量、环境、职业健康安全的行政处罚。未发生相关方的投诉。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暂时没有国家/地方抽查情况。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提供了组织营业执照均为有效。见附件。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r>
        <w:ptab w:relativeTo="margin" w:alignment="center" w:leader="none"/>
      </w:r>
    </w:p>
    <w:p>
      <w:pPr>
        <w:pStyle w:val="5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7E86"/>
    <w:multiLevelType w:val="singleLevel"/>
    <w:tmpl w:val="10EB7E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A11D9"/>
    <w:rsid w:val="0ABA7956"/>
    <w:rsid w:val="0ADC0396"/>
    <w:rsid w:val="0AFB2E4F"/>
    <w:rsid w:val="0E7F3584"/>
    <w:rsid w:val="0FCD17B2"/>
    <w:rsid w:val="11001F7E"/>
    <w:rsid w:val="1B376328"/>
    <w:rsid w:val="1E2B2415"/>
    <w:rsid w:val="206C68B0"/>
    <w:rsid w:val="25B566E1"/>
    <w:rsid w:val="298B2FBC"/>
    <w:rsid w:val="29DA0D03"/>
    <w:rsid w:val="2A045F9A"/>
    <w:rsid w:val="2B8522E5"/>
    <w:rsid w:val="366579C9"/>
    <w:rsid w:val="38DC61EB"/>
    <w:rsid w:val="39A84253"/>
    <w:rsid w:val="3D5306DA"/>
    <w:rsid w:val="40D15031"/>
    <w:rsid w:val="43F01A65"/>
    <w:rsid w:val="45790587"/>
    <w:rsid w:val="4AE60DE8"/>
    <w:rsid w:val="4B9D072E"/>
    <w:rsid w:val="4D140172"/>
    <w:rsid w:val="4E991885"/>
    <w:rsid w:val="4F9413A0"/>
    <w:rsid w:val="57570889"/>
    <w:rsid w:val="57A855D6"/>
    <w:rsid w:val="5AD052D2"/>
    <w:rsid w:val="5CA6609C"/>
    <w:rsid w:val="5EA316FA"/>
    <w:rsid w:val="63F30781"/>
    <w:rsid w:val="64FD2850"/>
    <w:rsid w:val="6B2238EB"/>
    <w:rsid w:val="6B242607"/>
    <w:rsid w:val="6F037DDE"/>
    <w:rsid w:val="72FC5C2D"/>
    <w:rsid w:val="78045072"/>
    <w:rsid w:val="7CD02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2020-04-05T04:50:59Z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