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</w:p>
    <w:p>
      <w:pPr>
        <w:spacing w:line="480" w:lineRule="exact"/>
        <w:jc w:val="center"/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2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1164"/>
        <w:gridCol w:w="11012"/>
        <w:gridCol w:w="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956" w:type="dxa"/>
            <w:vMerge w:val="restart"/>
            <w:vAlign w:val="center"/>
          </w:tcPr>
          <w:p>
            <w:pPr>
              <w:spacing w:before="12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过程与活动、</w:t>
            </w:r>
          </w:p>
          <w:p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涉及</w:t>
            </w: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条款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ascii="宋体" w:hAnsi="宋体" w:cs="宋体"/>
                <w:szCs w:val="21"/>
              </w:rPr>
              <w:t>受审核部门：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综合办公室</w:t>
            </w:r>
            <w:r>
              <w:rPr>
                <w:rFonts w:ascii="宋体" w:hAnsi="宋体" w:cs="宋体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 主管领导：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 </w:t>
            </w:r>
            <w:r>
              <w:rPr>
                <w:rFonts w:ascii="宋体" w:hAnsi="宋体" w:cs="宋体"/>
                <w:szCs w:val="21"/>
              </w:rPr>
              <w:t xml:space="preserve"> 陪同人员：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李楠</w:t>
            </w:r>
          </w:p>
        </w:tc>
        <w:tc>
          <w:tcPr>
            <w:tcW w:w="577" w:type="dxa"/>
            <w:vMerge w:val="restart"/>
            <w:vAlign w:val="center"/>
          </w:tcPr>
          <w:p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56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审核员：李俐  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强兴</w:t>
            </w:r>
            <w:r>
              <w:rPr>
                <w:rFonts w:hint="eastAsia" w:ascii="宋体" w:hAnsi="宋体" w:cs="宋体"/>
                <w:szCs w:val="21"/>
              </w:rPr>
              <w:t xml:space="preserve">           审核时间：20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szCs w:val="21"/>
              </w:rPr>
              <w:t>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Cs w:val="21"/>
              </w:rPr>
              <w:t>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Cs w:val="21"/>
              </w:rPr>
              <w:t>日</w:t>
            </w:r>
          </w:p>
        </w:tc>
        <w:tc>
          <w:tcPr>
            <w:tcW w:w="577" w:type="dxa"/>
            <w:vMerge w:val="continue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956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64" w:type="dxa"/>
            <w:vMerge w:val="continue"/>
            <w:vAlign w:val="center"/>
          </w:tcPr>
          <w:p>
            <w:pPr>
              <w:rPr>
                <w:color w:val="000000" w:themeColor="text1"/>
              </w:rPr>
            </w:pPr>
          </w:p>
        </w:tc>
        <w:tc>
          <w:tcPr>
            <w:tcW w:w="11012" w:type="dxa"/>
            <w:vAlign w:val="center"/>
          </w:tcPr>
          <w:p>
            <w:pPr>
              <w:snapToGrid w:val="0"/>
              <w:spacing w:line="360" w:lineRule="auto"/>
            </w:pPr>
            <w:r>
              <w:rPr>
                <w:rFonts w:hint="eastAsia"/>
              </w:rPr>
              <w:t>审核条款：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Q：5.3；6.2；7.1.2；7.1.4；7.1.6；7.2；7.3；7.4；7.5；9.1.1；9.1.3；10.2；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E：5.3；6.1.2；6.1.3；6.2；7.2；7.3；7.4；7.5；8.1；8.2；9.1.1；9.1.2；10.2；/EMS运行控制相关财务支出证据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O：5.3；6.1.2；6.1.3；6.1.4；6.2；7.2；7.3；7.4；7.5；8.1；8.2；9.1.1；9.1.2；10.2；/OHSMS运行控制财务支出证据</w:t>
            </w:r>
          </w:p>
        </w:tc>
        <w:tc>
          <w:tcPr>
            <w:tcW w:w="577" w:type="dxa"/>
            <w:vMerge w:val="continue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1164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color w:val="000000" w:themeColor="text1"/>
              </w:rPr>
            </w:pPr>
            <w:r>
              <w:rPr>
                <w:rFonts w:hint="eastAsia" w:ascii="宋体" w:hAnsi="宋体" w:cs="Arial"/>
                <w:szCs w:val="21"/>
              </w:rPr>
              <w:t>QEO：5.3</w:t>
            </w:r>
          </w:p>
        </w:tc>
        <w:tc>
          <w:tcPr>
            <w:tcW w:w="11012" w:type="dxa"/>
            <w:vAlign w:val="center"/>
          </w:tcPr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部门负责人：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ascii="宋体" w:hAnsi="宋体" w:cs="宋体"/>
                <w:szCs w:val="21"/>
              </w:rPr>
              <w:t xml:space="preserve"> </w:t>
            </w:r>
            <w:r>
              <w:rPr>
                <w:rFonts w:ascii="宋体" w:hAnsi="宋体" w:cs="新宋体"/>
                <w:szCs w:val="21"/>
              </w:rPr>
              <w:t xml:space="preserve">  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询问主要职责：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(1)协助质量负责人组织编写质量管理体系文件，负责体系文件的控制；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(2)负责本公司管理体系文件的管理、发放、宣贯；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(3)负责组织实施人员培训和考核计划；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(4)负责对实验室《要求、标书和合同》的评审，并落实对客户的承诺；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(5)负责人员技术档案、仪器设备档案、证书/报告等文件资料的管理工作；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(6)配合委托方做好校准/检测/检定物品到达后的检查工作，有权拒收不符合要求的物品；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(7)负责送检物品的接收、登记、编号、下发工作；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(8)负责办公耗材的采购、参与仪器设备到货的验收、归档，并负责仪器设备的管理等工作；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(9)负责对外业务接待，受理、处理申诉和投诉；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(10)负责本公司校准/检测/检定样品的管理；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(11)负责本公司标准资料的收集和管理工作；</w:t>
            </w:r>
          </w:p>
          <w:p>
            <w:pPr>
              <w:snapToGrid w:val="0"/>
              <w:spacing w:line="360" w:lineRule="auto"/>
              <w:rPr>
                <w:rFonts w:hint="eastAsia"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(12)组织实施总经理批准的本公司年度人员培训、考核计划；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13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组织对本公司的环境因素/危险源进行识别/辨识和评价，确定重要环境因素和重大危险源；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val="en-US" w:eastAsia="zh-CN"/>
              </w:rPr>
              <w:t>（14）</w:t>
            </w:r>
            <w:r>
              <w:rPr>
                <w:rFonts w:hint="eastAsia" w:ascii="宋体" w:hAnsi="宋体" w:cs="新宋体"/>
                <w:szCs w:val="21"/>
              </w:rPr>
              <w:t>负责统筹本公司内、外部相关信息的传递、处理及内部沟通活动；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15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根据管理者代表的部署，制定内部审核计划，组织实施内部审核，并监督检查纠正措施的落实；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val="en-US" w:eastAsia="zh-CN"/>
              </w:rPr>
              <w:t>（16）</w:t>
            </w:r>
            <w:r>
              <w:rPr>
                <w:rFonts w:hint="eastAsia" w:ascii="宋体" w:hAnsi="宋体" w:cs="新宋体"/>
                <w:szCs w:val="21"/>
              </w:rPr>
              <w:t>负责筹备管理评审工作；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17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负责管理体系绩效的监测和测量；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新宋体"/>
                <w:szCs w:val="21"/>
                <w:lang w:val="en-US" w:eastAsia="zh-CN"/>
              </w:rPr>
              <w:t>18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新宋体"/>
                <w:szCs w:val="21"/>
              </w:rPr>
              <w:t>负责法律、法规合规性评价。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财务人员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1)在总经理的领导下为管理体系正常有效运行提供必要的资金保证；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2)负责办理经营投标所需的银行担保及资金证明，提供所需的企业财务状况资料；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3)对本公司各部门的资金使用状况进行监督与管理；</w:t>
            </w:r>
          </w:p>
          <w:p>
            <w:pPr>
              <w:snapToGrid w:val="0"/>
              <w:spacing w:line="360" w:lineRule="auto"/>
              <w:ind w:firstLine="210" w:firstLineChars="100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4)负责本公司财务的日常管理工作；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Cs w:val="21"/>
              </w:rPr>
            </w:pPr>
            <w:r>
              <w:rPr>
                <w:rFonts w:hint="eastAsia" w:ascii="宋体" w:hAnsi="宋体" w:cs="新宋体"/>
                <w:szCs w:val="21"/>
              </w:rPr>
              <w:t>……</w:t>
            </w:r>
          </w:p>
          <w:p>
            <w:pPr>
              <w:snapToGrid w:val="0"/>
              <w:spacing w:line="360" w:lineRule="auto"/>
              <w:rPr>
                <w:rFonts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Cs w:val="21"/>
              </w:rPr>
              <w:t>部门职责清晰、明确。</w:t>
            </w:r>
            <w:r>
              <w:rPr>
                <w:rFonts w:hint="eastAsia" w:ascii="宋体" w:hAnsi="宋体" w:cs="新宋体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cs="新宋体"/>
                <w:szCs w:val="21"/>
              </w:rPr>
              <w:t>负责人能基本阐述本部门的主要职责。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56" w:type="dxa"/>
          </w:tcPr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</w:pPr>
          </w:p>
          <w:p>
            <w:pPr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  <w:t>目标、指标管理方案</w:t>
            </w:r>
          </w:p>
          <w:p>
            <w:pPr>
              <w:rPr>
                <w:color w:val="000000" w:themeColor="text1"/>
              </w:rPr>
            </w:pPr>
          </w:p>
        </w:tc>
        <w:tc>
          <w:tcPr>
            <w:tcW w:w="1164" w:type="dxa"/>
          </w:tcPr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ascii="宋体" w:hAnsi="宋体" w:cs="Arial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Arial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Arial"/>
                <w:szCs w:val="21"/>
              </w:rPr>
            </w:pPr>
          </w:p>
          <w:p>
            <w:pPr>
              <w:pStyle w:val="16"/>
              <w:rPr>
                <w:color w:val="000000" w:themeColor="text1"/>
              </w:rPr>
            </w:pPr>
            <w:r>
              <w:rPr>
                <w:rFonts w:hint="eastAsia" w:ascii="宋体" w:hAnsi="宋体" w:cs="Arial"/>
                <w:szCs w:val="21"/>
              </w:rPr>
              <w:t>QEO：</w:t>
            </w:r>
            <w:r>
              <w:rPr>
                <w:rFonts w:hint="eastAsia" w:ascii="宋体" w:hAnsi="宋体" w:cs="新宋体"/>
                <w:szCs w:val="21"/>
              </w:rPr>
              <w:t>6.2</w:t>
            </w:r>
          </w:p>
        </w:tc>
        <w:tc>
          <w:tcPr>
            <w:tcW w:w="11012" w:type="dxa"/>
          </w:tcPr>
          <w:p>
            <w:pPr>
              <w:autoSpaceDE w:val="0"/>
              <w:autoSpaceDN w:val="0"/>
              <w:spacing w:line="360" w:lineRule="auto"/>
            </w:pPr>
            <w:r>
              <w:rPr>
                <w:rFonts w:hint="eastAsia"/>
              </w:rPr>
              <w:t>编制了《目标指标管理方案控制程序》，公司有将质量、环境、职业健康安全目标分解到各个部门，</w:t>
            </w:r>
          </w:p>
          <w:p>
            <w:pPr>
              <w:autoSpaceDE w:val="0"/>
              <w:autoSpaceDN w:val="0"/>
              <w:spacing w:line="360" w:lineRule="auto"/>
            </w:pPr>
            <w:r>
              <w:rPr>
                <w:rFonts w:hint="eastAsia" w:ascii="宋体" w:hAnsi="宋体" w:cs="新宋体"/>
                <w:szCs w:val="21"/>
                <w:lang w:eastAsia="zh-CN"/>
              </w:rPr>
              <w:t>综合办公室</w:t>
            </w:r>
            <w:r>
              <w:rPr>
                <w:rFonts w:hint="eastAsia"/>
              </w:rPr>
              <w:t>的目标是：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公司内部体系文件受控率100%；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文件发放及时率100%；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人员招聘及时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率100%；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避免危险有害废弃物违规排放，按规定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对其分类处理率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适用环境、职业健康安全法规和其他要求符合率100%；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重大环境污染事故为零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年度火灾和重大安全事故（死亡、重伤）发生率为零；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年轻伤事故发生率控制在0起；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确保相关方环境及职业健康安全方面零投诉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员工职业病发病率为零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。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</w:pPr>
            <w:r>
              <w:rPr>
                <w:rFonts w:hint="eastAsia"/>
                <w:szCs w:val="22"/>
              </w:rPr>
              <w:t>2019.</w:t>
            </w:r>
            <w:r>
              <w:rPr>
                <w:rFonts w:hint="eastAsia"/>
                <w:szCs w:val="22"/>
                <w:lang w:val="en-US" w:eastAsia="zh-CN"/>
              </w:rPr>
              <w:t>12.25</w:t>
            </w:r>
            <w:r>
              <w:rPr>
                <w:rFonts w:hint="eastAsia"/>
                <w:szCs w:val="22"/>
              </w:rPr>
              <w:t>考核情况：经查已完成。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抽查《2019年度环境目标、指标与管理方案》</w:t>
            </w:r>
          </w:p>
          <w:p>
            <w:pPr>
              <w:tabs>
                <w:tab w:val="center" w:pos="3169"/>
              </w:tabs>
              <w:spacing w:line="360" w:lineRule="auto"/>
              <w:jc w:val="both"/>
              <w:rPr>
                <w:szCs w:val="22"/>
              </w:rPr>
            </w:pPr>
            <w:r>
              <w:rPr>
                <w:rFonts w:hint="eastAsia"/>
                <w:szCs w:val="22"/>
              </w:rPr>
              <w:t>编制：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  <w:lang w:val="en-US" w:eastAsia="zh-CN"/>
              </w:rPr>
              <w:t xml:space="preserve">  </w:t>
            </w:r>
            <w:r>
              <w:rPr>
                <w:rFonts w:hint="eastAsia"/>
                <w:szCs w:val="22"/>
              </w:rPr>
              <w:t>审核：</w:t>
            </w:r>
            <w:r>
              <w:rPr>
                <w:rFonts w:hint="eastAsia"/>
                <w:szCs w:val="22"/>
                <w:lang w:val="en-US" w:eastAsia="zh-CN"/>
              </w:rPr>
              <w:t>孟宏涛</w:t>
            </w:r>
            <w:r>
              <w:rPr>
                <w:rFonts w:hint="eastAsia"/>
                <w:szCs w:val="22"/>
              </w:rPr>
              <w:t>　 批准：</w:t>
            </w:r>
            <w:r>
              <w:rPr>
                <w:rFonts w:hint="eastAsia"/>
                <w:szCs w:val="22"/>
                <w:lang w:val="en-US" w:eastAsia="zh-CN"/>
              </w:rPr>
              <w:t>周东福</w:t>
            </w:r>
            <w:r>
              <w:rPr>
                <w:rFonts w:hint="eastAsia"/>
                <w:szCs w:val="22"/>
              </w:rPr>
              <w:t>　 日期：201</w:t>
            </w:r>
            <w:r>
              <w:rPr>
                <w:rFonts w:hint="eastAsia"/>
                <w:szCs w:val="22"/>
                <w:lang w:val="en-US" w:eastAsia="zh-CN"/>
              </w:rPr>
              <w:t>9</w:t>
            </w:r>
            <w:r>
              <w:rPr>
                <w:rFonts w:hint="eastAsia"/>
                <w:szCs w:val="22"/>
              </w:rPr>
              <w:t>年</w:t>
            </w:r>
            <w:r>
              <w:rPr>
                <w:rFonts w:hint="eastAsia"/>
                <w:szCs w:val="22"/>
                <w:lang w:val="en-US" w:eastAsia="zh-CN"/>
              </w:rPr>
              <w:t>1</w:t>
            </w:r>
            <w:r>
              <w:rPr>
                <w:rFonts w:hint="eastAsia"/>
                <w:szCs w:val="22"/>
              </w:rPr>
              <w:t>月</w:t>
            </w:r>
            <w:r>
              <w:rPr>
                <w:rFonts w:hint="eastAsia"/>
                <w:szCs w:val="22"/>
                <w:lang w:val="en-US" w:eastAsia="zh-CN"/>
              </w:rPr>
              <w:t>26</w:t>
            </w:r>
            <w:r>
              <w:rPr>
                <w:rFonts w:hint="eastAsia"/>
                <w:szCs w:val="22"/>
              </w:rPr>
              <w:t>日</w:t>
            </w: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p>
            <w:pPr>
              <w:pStyle w:val="3"/>
              <w:ind w:left="0"/>
              <w:rPr>
                <w:szCs w:val="22"/>
              </w:rPr>
            </w:pPr>
          </w:p>
          <w:tbl>
            <w:tblPr>
              <w:tblStyle w:val="12"/>
              <w:tblW w:w="11005" w:type="dxa"/>
              <w:tblInd w:w="0" w:type="dxa"/>
              <w:tblBorders>
                <w:top w:val="double" w:color="auto" w:sz="4" w:space="0"/>
                <w:left w:val="double" w:color="auto" w:sz="4" w:space="0"/>
                <w:bottom w:val="double" w:color="auto" w:sz="4" w:space="0"/>
                <w:right w:val="double" w:color="auto" w:sz="4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34"/>
              <w:gridCol w:w="871"/>
              <w:gridCol w:w="837"/>
              <w:gridCol w:w="1138"/>
              <w:gridCol w:w="3122"/>
              <w:gridCol w:w="837"/>
              <w:gridCol w:w="941"/>
              <w:gridCol w:w="625"/>
              <w:gridCol w:w="587"/>
              <w:gridCol w:w="638"/>
              <w:gridCol w:w="775"/>
            </w:tblGrid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35" w:hRule="atLeast"/>
              </w:trPr>
              <w:tc>
                <w:tcPr>
                  <w:tcW w:w="634" w:type="dxa"/>
                  <w:vMerge w:val="restart"/>
                  <w:tcBorders>
                    <w:top w:val="double" w:color="auto" w:sz="4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序号</w:t>
                  </w:r>
                </w:p>
              </w:tc>
              <w:tc>
                <w:tcPr>
                  <w:tcW w:w="871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重要环境因素</w:t>
                  </w:r>
                </w:p>
              </w:tc>
              <w:tc>
                <w:tcPr>
                  <w:tcW w:w="837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目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标</w:t>
                  </w:r>
                </w:p>
              </w:tc>
              <w:tc>
                <w:tcPr>
                  <w:tcW w:w="1138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指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标</w:t>
                  </w:r>
                </w:p>
              </w:tc>
              <w:tc>
                <w:tcPr>
                  <w:tcW w:w="7525" w:type="dxa"/>
                  <w:gridSpan w:val="7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管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理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方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240" w:hRule="atLeast"/>
              </w:trPr>
              <w:tc>
                <w:tcPr>
                  <w:tcW w:w="634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1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37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8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22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措施和方法</w:t>
                  </w:r>
                </w:p>
              </w:tc>
              <w:tc>
                <w:tcPr>
                  <w:tcW w:w="837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责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任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部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门</w:t>
                  </w:r>
                </w:p>
              </w:tc>
              <w:tc>
                <w:tcPr>
                  <w:tcW w:w="941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相关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部门</w:t>
                  </w:r>
                </w:p>
              </w:tc>
              <w:tc>
                <w:tcPr>
                  <w:tcW w:w="6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预算经费</w:t>
                  </w:r>
                </w:p>
              </w:tc>
              <w:tc>
                <w:tcPr>
                  <w:tcW w:w="1225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起止时间</w: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验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证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时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间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80" w:hRule="atLeast"/>
              </w:trPr>
              <w:tc>
                <w:tcPr>
                  <w:tcW w:w="634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1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37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38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122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37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6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87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</w:t>
                  </w:r>
                </w:p>
              </w:tc>
              <w:tc>
                <w:tcPr>
                  <w:tcW w:w="638" w:type="dxa"/>
                  <w:tcBorders>
                    <w:top w:val="single" w:color="auto" w:sz="4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止</w:t>
                  </w:r>
                </w:p>
              </w:tc>
              <w:tc>
                <w:tcPr>
                  <w:tcW w:w="7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8" w:hRule="atLeast"/>
              </w:trPr>
              <w:tc>
                <w:tcPr>
                  <w:tcW w:w="634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固体垃圾的排放</w:t>
                  </w:r>
                </w:p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有毒有害固体废弃物排放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固体废弃物按要求分类处理，</w:t>
                  </w:r>
                  <w:r>
                    <w:rPr>
                      <w:rFonts w:hint="eastAsia" w:ascii="宋体" w:hAnsi="宋体" w:eastAsia="宋体" w:cs="宋体"/>
                      <w:bCs/>
                      <w:sz w:val="18"/>
                      <w:szCs w:val="18"/>
                    </w:rPr>
                    <w:t>分类收集处置率100％</w:t>
                  </w:r>
                </w:p>
              </w:tc>
              <w:tc>
                <w:tcPr>
                  <w:tcW w:w="11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固体废弃物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集中收集分类处理。</w:t>
                  </w:r>
                </w:p>
                <w:p>
                  <w:pPr>
                    <w:spacing w:line="300" w:lineRule="exact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有毒有害固体废弃物收集率达到100%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。</w:t>
                  </w:r>
                </w:p>
              </w:tc>
              <w:tc>
                <w:tcPr>
                  <w:tcW w:w="31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① 严格按照工艺要求用料，设置可回收、不可回收和危险固体废弃物存放处；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18"/>
                      <w:szCs w:val="18"/>
                    </w:rPr>
                    <w:t>②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办公区域、现场危险固体废弃物回收桶，其中废墨盒、废硒鼓、日光灯管、废油桶等有毒有害固体废弃物交给有资质公司进行处理；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kern w:val="0"/>
                      <w:sz w:val="18"/>
                      <w:szCs w:val="18"/>
                    </w:rPr>
                    <w:t>③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 xml:space="preserve"> 办公区域实行垃圾袋装化，定点集中处理；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④执行《固体废弃物分类收集处置控制程序》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</w:t>
                  </w:r>
                </w:p>
                <w:p>
                  <w:pPr>
                    <w:spacing w:line="440" w:lineRule="exact"/>
                    <w:jc w:val="center"/>
                    <w:rPr>
                      <w:rFonts w:hint="default" w:ascii="宋体" w:hAnsi="宋体" w:eastAsia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94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质量技术部</w:t>
                  </w:r>
                </w:p>
                <w:p>
                  <w:pPr>
                    <w:jc w:val="center"/>
                    <w:rPr>
                      <w:rFonts w:hint="default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专业计量室</w:t>
                  </w:r>
                </w:p>
              </w:tc>
              <w:tc>
                <w:tcPr>
                  <w:tcW w:w="6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3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千元</w:t>
                  </w:r>
                </w:p>
              </w:tc>
              <w:tc>
                <w:tcPr>
                  <w:tcW w:w="587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2019.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2019.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2019</w:t>
                  </w:r>
                  <w:r>
                    <w:rPr>
                      <w:rFonts w:hint="eastAsia"/>
                      <w:sz w:val="18"/>
                      <w:szCs w:val="18"/>
                    </w:rPr>
                    <w:t>年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</w:rPr>
                    <w:t>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80" w:hRule="atLeast"/>
              </w:trPr>
              <w:tc>
                <w:tcPr>
                  <w:tcW w:w="634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3</w:t>
                  </w:r>
                </w:p>
              </w:tc>
              <w:tc>
                <w:tcPr>
                  <w:tcW w:w="87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火灾、爆炸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杜绝火灾、</w:t>
                  </w:r>
                </w:p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爆炸事故</w:t>
                  </w:r>
                </w:p>
              </w:tc>
              <w:tc>
                <w:tcPr>
                  <w:tcW w:w="11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不发生火灾污染事故</w:t>
                  </w:r>
                </w:p>
              </w:tc>
              <w:tc>
                <w:tcPr>
                  <w:tcW w:w="31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① 加强员工消防安全意识教育；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② 加强油品、化学品的贮存和使用管理；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③库房、现场动火作业严格执行操作规程；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④做好日常消防安全检查，消灭火灾、爆炸事故的隐患；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⑤库房等重点部位配置适宜、有效的消防器材；</w:t>
                  </w:r>
                </w:p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成立应急领导小组，进行消防知识培训及应急演练。</w:t>
                  </w:r>
                </w:p>
              </w:tc>
              <w:tc>
                <w:tcPr>
                  <w:tcW w:w="83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</w:t>
                  </w:r>
                </w:p>
                <w:p>
                  <w:pPr>
                    <w:spacing w:line="44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941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质量技术部</w:t>
                  </w:r>
                </w:p>
                <w:p>
                  <w:pPr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专业计量室</w:t>
                  </w:r>
                </w:p>
              </w:tc>
              <w:tc>
                <w:tcPr>
                  <w:tcW w:w="6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6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千元</w:t>
                  </w:r>
                </w:p>
              </w:tc>
              <w:tc>
                <w:tcPr>
                  <w:tcW w:w="587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2019.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eastAsia="宋体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2019.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eastAsia="zh-CN"/>
                    </w:rPr>
                    <w:t>2019</w:t>
                  </w:r>
                  <w:r>
                    <w:rPr>
                      <w:rFonts w:hint="eastAsia"/>
                      <w:sz w:val="18"/>
                      <w:szCs w:val="18"/>
                    </w:rPr>
                    <w:t>年</w:t>
                  </w:r>
                  <w:r>
                    <w:rPr>
                      <w:sz w:val="18"/>
                      <w:szCs w:val="18"/>
                    </w:rPr>
                    <w:t>1</w:t>
                  </w: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  <w:sz w:val="18"/>
                      <w:szCs w:val="18"/>
                    </w:rPr>
                    <w:t>月</w:t>
                  </w:r>
                </w:p>
              </w:tc>
            </w:tr>
          </w:tbl>
          <w:p>
            <w:pPr>
              <w:tabs>
                <w:tab w:val="left" w:pos="6597"/>
              </w:tabs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抽查《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2019年</w:t>
            </w:r>
            <w:r>
              <w:rPr>
                <w:rFonts w:hint="eastAsia" w:ascii="宋体" w:hAnsi="宋体" w:cs="宋体"/>
                <w:szCs w:val="21"/>
              </w:rPr>
              <w:t>职业健康安全管理方案》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/>
              </w:rPr>
            </w:pPr>
            <w:r>
              <w:rPr>
                <w:rFonts w:hint="eastAsia"/>
                <w:szCs w:val="22"/>
              </w:rPr>
              <w:t>编制：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陈飞燕</w:t>
            </w:r>
            <w:r>
              <w:rPr>
                <w:rFonts w:hint="eastAsia"/>
                <w:szCs w:val="22"/>
              </w:rPr>
              <w:t xml:space="preserve"> </w:t>
            </w:r>
            <w:r>
              <w:rPr>
                <w:rFonts w:hint="eastAsia"/>
                <w:szCs w:val="22"/>
                <w:lang w:val="en-US" w:eastAsia="zh-CN"/>
              </w:rPr>
              <w:t xml:space="preserve">  </w:t>
            </w:r>
            <w:r>
              <w:rPr>
                <w:rFonts w:hint="eastAsia"/>
                <w:szCs w:val="22"/>
              </w:rPr>
              <w:t>审核：</w:t>
            </w:r>
            <w:r>
              <w:rPr>
                <w:rFonts w:hint="eastAsia"/>
                <w:szCs w:val="22"/>
                <w:lang w:val="en-US" w:eastAsia="zh-CN"/>
              </w:rPr>
              <w:t>孟宏涛</w:t>
            </w:r>
            <w:r>
              <w:rPr>
                <w:rFonts w:hint="eastAsia"/>
                <w:szCs w:val="22"/>
              </w:rPr>
              <w:t>　 批准：</w:t>
            </w:r>
            <w:r>
              <w:rPr>
                <w:rFonts w:hint="eastAsia"/>
                <w:szCs w:val="22"/>
                <w:lang w:val="en-US" w:eastAsia="zh-CN"/>
              </w:rPr>
              <w:t>周东福</w:t>
            </w:r>
            <w:r>
              <w:rPr>
                <w:rFonts w:hint="eastAsia"/>
                <w:szCs w:val="22"/>
              </w:rPr>
              <w:t>　 日期：201</w:t>
            </w:r>
            <w:r>
              <w:rPr>
                <w:rFonts w:hint="eastAsia"/>
                <w:szCs w:val="22"/>
                <w:lang w:val="en-US" w:eastAsia="zh-CN"/>
              </w:rPr>
              <w:t>9</w:t>
            </w:r>
            <w:r>
              <w:rPr>
                <w:rFonts w:hint="eastAsia"/>
                <w:szCs w:val="22"/>
              </w:rPr>
              <w:t>年</w:t>
            </w:r>
            <w:r>
              <w:rPr>
                <w:rFonts w:hint="eastAsia"/>
                <w:szCs w:val="22"/>
                <w:lang w:val="en-US" w:eastAsia="zh-CN"/>
              </w:rPr>
              <w:t>1</w:t>
            </w:r>
            <w:r>
              <w:rPr>
                <w:rFonts w:hint="eastAsia"/>
                <w:szCs w:val="22"/>
              </w:rPr>
              <w:t>月</w:t>
            </w:r>
            <w:r>
              <w:rPr>
                <w:rFonts w:hint="eastAsia"/>
                <w:szCs w:val="22"/>
                <w:lang w:val="en-US" w:eastAsia="zh-CN"/>
              </w:rPr>
              <w:t>26</w:t>
            </w:r>
            <w:r>
              <w:rPr>
                <w:rFonts w:hint="eastAsia"/>
                <w:szCs w:val="22"/>
              </w:rPr>
              <w:t>日</w:t>
            </w:r>
          </w:p>
          <w:tbl>
            <w:tblPr>
              <w:tblStyle w:val="12"/>
              <w:tblW w:w="0" w:type="auto"/>
              <w:tblInd w:w="0" w:type="dxa"/>
              <w:tblBorders>
                <w:top w:val="double" w:color="auto" w:sz="4" w:space="0"/>
                <w:left w:val="double" w:color="auto" w:sz="4" w:space="0"/>
                <w:bottom w:val="double" w:color="auto" w:sz="4" w:space="0"/>
                <w:right w:val="double" w:color="auto" w:sz="4" w:space="0"/>
                <w:insideH w:val="single" w:color="auto" w:sz="6" w:space="0"/>
                <w:insideV w:val="single" w:color="auto" w:sz="6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88"/>
              <w:gridCol w:w="1004"/>
              <w:gridCol w:w="975"/>
              <w:gridCol w:w="2725"/>
              <w:gridCol w:w="1025"/>
              <w:gridCol w:w="1150"/>
              <w:gridCol w:w="775"/>
              <w:gridCol w:w="875"/>
              <w:gridCol w:w="800"/>
              <w:gridCol w:w="825"/>
            </w:tblGrid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591" w:hRule="atLeast"/>
              </w:trPr>
              <w:tc>
                <w:tcPr>
                  <w:tcW w:w="388" w:type="dxa"/>
                  <w:vMerge w:val="restart"/>
                  <w:tcBorders>
                    <w:top w:val="double" w:color="auto" w:sz="4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序号</w:t>
                  </w:r>
                </w:p>
              </w:tc>
              <w:tc>
                <w:tcPr>
                  <w:tcW w:w="1004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  <w:lang w:val="en-US" w:eastAsia="zh-CN"/>
                    </w:rPr>
                    <w:t>不可接受风险</w:t>
                  </w:r>
                  <w:r>
                    <w:rPr>
                      <w:rFonts w:hint="eastAsia"/>
                      <w:sz w:val="18"/>
                      <w:szCs w:val="18"/>
                    </w:rPr>
                    <w:t>危险源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目标</w:t>
                  </w:r>
                </w:p>
              </w:tc>
              <w:tc>
                <w:tcPr>
                  <w:tcW w:w="8175" w:type="dxa"/>
                  <w:gridSpan w:val="7"/>
                  <w:tcBorders>
                    <w:top w:val="double" w:color="auto" w:sz="4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管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理</w:t>
                  </w:r>
                  <w:r>
                    <w:rPr>
                      <w:sz w:val="18"/>
                      <w:szCs w:val="18"/>
                    </w:rPr>
                    <w:t xml:space="preserve">   </w:t>
                  </w:r>
                  <w:r>
                    <w:rPr>
                      <w:rFonts w:hint="eastAsia"/>
                      <w:sz w:val="18"/>
                      <w:szCs w:val="18"/>
                    </w:rPr>
                    <w:t>方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hint="eastAsia"/>
                      <w:sz w:val="18"/>
                      <w:szCs w:val="18"/>
                    </w:rPr>
                    <w:t>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420" w:hRule="atLeast"/>
              </w:trPr>
              <w:tc>
                <w:tcPr>
                  <w:tcW w:w="388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04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措施和方法</w:t>
                  </w:r>
                </w:p>
              </w:tc>
              <w:tc>
                <w:tcPr>
                  <w:tcW w:w="10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责任部门</w:t>
                  </w:r>
                </w:p>
              </w:tc>
              <w:tc>
                <w:tcPr>
                  <w:tcW w:w="1150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相关部门</w:t>
                  </w:r>
                </w:p>
              </w:tc>
              <w:tc>
                <w:tcPr>
                  <w:tcW w:w="77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预算经费</w:t>
                  </w:r>
                </w:p>
              </w:tc>
              <w:tc>
                <w:tcPr>
                  <w:tcW w:w="1675" w:type="dxa"/>
                  <w:gridSpan w:val="2"/>
                  <w:tcBorders>
                    <w:top w:val="single" w:color="auto" w:sz="6" w:space="0"/>
                    <w:left w:val="single" w:color="auto" w:sz="6" w:space="0"/>
                    <w:bottom w:val="single" w:color="auto" w:sz="4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起止时间</w:t>
                  </w:r>
                </w:p>
              </w:tc>
              <w:tc>
                <w:tcPr>
                  <w:tcW w:w="825" w:type="dxa"/>
                  <w:vMerge w:val="restart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验证时间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320" w:hRule="atLeast"/>
              </w:trPr>
              <w:tc>
                <w:tcPr>
                  <w:tcW w:w="388" w:type="dxa"/>
                  <w:vMerge w:val="continue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04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7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50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7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75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起</w:t>
                  </w:r>
                </w:p>
              </w:tc>
              <w:tc>
                <w:tcPr>
                  <w:tcW w:w="800" w:type="dxa"/>
                  <w:tcBorders>
                    <w:top w:val="single" w:color="auto" w:sz="4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止</w:t>
                  </w:r>
                </w:p>
              </w:tc>
              <w:tc>
                <w:tcPr>
                  <w:tcW w:w="825" w:type="dxa"/>
                  <w:vMerge w:val="continue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388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0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电线老化、乱接电源</w:t>
                  </w:r>
                </w:p>
              </w:tc>
              <w:tc>
                <w:tcPr>
                  <w:tcW w:w="9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用电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  <w:lang w:val="en-US" w:eastAsia="zh-CN"/>
                    </w:rPr>
                    <w:t>安全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符合规 范规 定</w:t>
                  </w:r>
                </w:p>
              </w:tc>
              <w:tc>
                <w:tcPr>
                  <w:tcW w:w="27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现场临时用电严格执行规范规定；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严格执行“一机一闸一保护”规定；</w:t>
                  </w:r>
                </w:p>
                <w:p>
                  <w:pPr>
                    <w:numPr>
                      <w:ilvl w:val="0"/>
                      <w:numId w:val="2"/>
                    </w:numP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加强巡检，及时更换老化电线；</w:t>
                  </w:r>
                </w:p>
                <w:p>
                  <w:pPr>
                    <w:numPr>
                      <w:ilvl w:val="0"/>
                      <w:numId w:val="2"/>
                    </w:numPr>
                    <w:ind w:left="360" w:leftChars="0" w:hanging="360" w:firstLineChars="0"/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严禁乱拉电线，乱接电源。</w:t>
                  </w:r>
                </w:p>
              </w:tc>
              <w:tc>
                <w:tcPr>
                  <w:tcW w:w="10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综合办公室、</w:t>
                  </w:r>
                </w:p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11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质量技专业专业计量室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18"/>
                      <w:szCs w:val="18"/>
                    </w:rPr>
                    <w:t>三千元</w:t>
                  </w:r>
                </w:p>
              </w:tc>
              <w:tc>
                <w:tcPr>
                  <w:tcW w:w="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2019年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月</w:t>
                  </w:r>
                </w:p>
              </w:tc>
              <w:tc>
                <w:tcPr>
                  <w:tcW w:w="80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2019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color w:val="0000FF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2019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</w:tr>
            <w:tr>
              <w:tblPrEx>
                <w:tblBorders>
                  <w:top w:val="double" w:color="auto" w:sz="4" w:space="0"/>
                  <w:left w:val="double" w:color="auto" w:sz="4" w:space="0"/>
                  <w:bottom w:val="double" w:color="auto" w:sz="4" w:space="0"/>
                  <w:right w:val="double" w:color="auto" w:sz="4" w:space="0"/>
                  <w:insideH w:val="single" w:color="auto" w:sz="6" w:space="0"/>
                  <w:insideV w:val="single" w:color="auto" w:sz="6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6" w:hRule="atLeast"/>
              </w:trPr>
              <w:tc>
                <w:tcPr>
                  <w:tcW w:w="388" w:type="dxa"/>
                  <w:tcBorders>
                    <w:top w:val="single" w:color="auto" w:sz="6" w:space="0"/>
                    <w:left w:val="double" w:color="auto" w:sz="4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0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易燃物场所吸烟；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无消防器材</w:t>
                  </w: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，</w:t>
                  </w: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消防设施失效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；超负荷用电</w:t>
                  </w:r>
                </w:p>
              </w:tc>
              <w:tc>
                <w:tcPr>
                  <w:tcW w:w="9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杜绝火灾、</w:t>
                  </w:r>
                </w:p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爆炸事故</w:t>
                  </w:r>
                </w:p>
              </w:tc>
              <w:tc>
                <w:tcPr>
                  <w:tcW w:w="27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① 加强员工消防安全意识教育；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②焊接等动火作业严格执行操作规程；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③做好日常消防安全检查，消灭火灾、爆炸事故的隐患；</w:t>
                  </w:r>
                </w:p>
                <w:p>
                  <w:pPr>
                    <w:ind w:left="24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④库房等重点部位配置适宜、有效的消防器材；</w:t>
                  </w:r>
                </w:p>
                <w:p>
                  <w:pPr>
                    <w:ind w:left="180" w:leftChars="0" w:hanging="180" w:hangingChars="100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⑤ 成立应急领导小组，进行消防知识培训及应急演练。</w:t>
                  </w:r>
                </w:p>
              </w:tc>
              <w:tc>
                <w:tcPr>
                  <w:tcW w:w="10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spacing w:line="440" w:lineRule="exact"/>
                    <w:jc w:val="center"/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综合办公室、</w:t>
                  </w:r>
                </w:p>
                <w:p>
                  <w:pPr>
                    <w:spacing w:line="440" w:lineRule="exact"/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市场开发部</w:t>
                  </w:r>
                </w:p>
              </w:tc>
              <w:tc>
                <w:tcPr>
                  <w:tcW w:w="115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质量技术部专业计量室</w:t>
                  </w:r>
                </w:p>
              </w:tc>
              <w:tc>
                <w:tcPr>
                  <w:tcW w:w="7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五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千元</w:t>
                  </w:r>
                </w:p>
              </w:tc>
              <w:tc>
                <w:tcPr>
                  <w:tcW w:w="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2019年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月</w:t>
                  </w:r>
                </w:p>
              </w:tc>
              <w:tc>
                <w:tcPr>
                  <w:tcW w:w="80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2019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  <w:tc>
                <w:tcPr>
                  <w:tcW w:w="8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double" w:color="auto" w:sz="4" w:space="0"/>
                  </w:tcBorders>
                  <w:noWrap w:val="0"/>
                  <w:vAlign w:val="center"/>
                </w:tcPr>
                <w:p>
                  <w:pPr>
                    <w:jc w:val="center"/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eastAsia="zh-CN"/>
                    </w:rPr>
                    <w:t>2019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年1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  <w:lang w:val="en-US" w:eastAsia="zh-CN"/>
                    </w:rPr>
                    <w:t>2</w:t>
                  </w:r>
                  <w:r>
                    <w:rPr>
                      <w:rFonts w:hint="eastAsia" w:ascii="宋体" w:hAnsi="宋体" w:eastAsia="宋体" w:cs="宋体"/>
                      <w:sz w:val="18"/>
                      <w:szCs w:val="18"/>
                    </w:rPr>
                    <w:t>月</w:t>
                  </w:r>
                </w:p>
              </w:tc>
            </w:tr>
          </w:tbl>
          <w:p>
            <w:pPr>
              <w:pStyle w:val="3"/>
              <w:ind w:left="0" w:leftChars="0" w:firstLine="0" w:firstLineChars="0"/>
              <w:rPr>
                <w:rFonts w:hint="eastAsia"/>
                <w:szCs w:val="22"/>
              </w:rPr>
            </w:pPr>
          </w:p>
          <w:p>
            <w:pPr>
              <w:spacing w:line="360" w:lineRule="auto"/>
              <w:rPr>
                <w:szCs w:val="22"/>
              </w:rPr>
            </w:pPr>
            <w:r>
              <w:rPr>
                <w:rFonts w:hint="eastAsia" w:ascii="宋体" w:hAnsi="宋体" w:cs="宋体"/>
                <w:szCs w:val="21"/>
              </w:rPr>
              <w:t>管理方案由责任部门组织实施，目前已完成。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5" w:hRule="atLeast"/>
        </w:trPr>
        <w:tc>
          <w:tcPr>
            <w:tcW w:w="1956" w:type="dxa"/>
          </w:tcPr>
          <w:p>
            <w:pPr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  <w:szCs w:val="21"/>
              </w:rPr>
            </w:pPr>
          </w:p>
          <w:p>
            <w:pPr>
              <w:pStyle w:val="2"/>
              <w:rPr>
                <w:color w:val="000000" w:themeColor="text1"/>
                <w:szCs w:val="21"/>
              </w:rPr>
            </w:pPr>
          </w:p>
          <w:p>
            <w:pPr>
              <w:pStyle w:val="3"/>
              <w:rPr>
                <w:color w:val="000000" w:themeColor="text1"/>
                <w:szCs w:val="21"/>
              </w:rPr>
            </w:pPr>
          </w:p>
          <w:p>
            <w:pPr>
              <w:pStyle w:val="3"/>
              <w:rPr>
                <w:color w:val="000000" w:themeColor="text1"/>
                <w:szCs w:val="21"/>
              </w:rPr>
            </w:pPr>
          </w:p>
          <w:p>
            <w:pPr>
              <w:pStyle w:val="3"/>
              <w:rPr>
                <w:color w:val="000000" w:themeColor="text1"/>
                <w:szCs w:val="21"/>
              </w:rPr>
            </w:pPr>
          </w:p>
          <w:p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zCs w:val="21"/>
              </w:rPr>
              <w:t>人员、能力、培训</w:t>
            </w:r>
          </w:p>
        </w:tc>
        <w:tc>
          <w:tcPr>
            <w:tcW w:w="1164" w:type="dxa"/>
          </w:tcPr>
          <w:p>
            <w:pPr>
              <w:pStyle w:val="16"/>
              <w:rPr>
                <w:rFonts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pStyle w:val="16"/>
              <w:rPr>
                <w:rFonts w:hint="eastAsia" w:ascii="宋体" w:hAnsi="宋体" w:cs="新宋体"/>
                <w:color w:val="FF0000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Q：7.1.2</w:t>
            </w:r>
          </w:p>
          <w:p>
            <w:pP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EO：7.2，7.3</w:t>
            </w:r>
          </w:p>
          <w:p>
            <w:pPr>
              <w:pStyle w:val="16"/>
              <w:rPr>
                <w:rFonts w:ascii="宋体" w:hAnsi="宋体" w:cs="新宋体"/>
                <w:color w:val="FF0000"/>
                <w:szCs w:val="21"/>
              </w:rPr>
            </w:pPr>
          </w:p>
        </w:tc>
        <w:tc>
          <w:tcPr>
            <w:tcW w:w="11012" w:type="dxa"/>
          </w:tcPr>
          <w:p>
            <w:pPr>
              <w:spacing w:line="360" w:lineRule="auto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公司制定了《人力资源</w:t>
            </w:r>
            <w:r>
              <w:rPr>
                <w:rFonts w:hint="eastAsia"/>
                <w:color w:val="000000" w:themeColor="text1"/>
                <w:lang w:val="en-US" w:eastAsia="zh-CN"/>
              </w:rPr>
              <w:t>控制</w:t>
            </w:r>
            <w:r>
              <w:rPr>
                <w:rFonts w:hint="eastAsia"/>
                <w:color w:val="000000" w:themeColor="text1"/>
              </w:rPr>
              <w:t>程序》，通过培训和其他措施提高员工的能力，增强员工的质量、环境与职业健康安全管理的意识，并胜任其工作岗位。使员工满足所从事的质量、环境、职业健康安全工作对能力的要求。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提供《岗位职责和任职要求》，对各部门领导层、</w:t>
            </w:r>
            <w:r>
              <w:rPr>
                <w:rFonts w:hint="eastAsia"/>
                <w:color w:val="000000" w:themeColor="text1"/>
                <w:lang w:val="en-US" w:eastAsia="zh-CN"/>
              </w:rPr>
              <w:t>综合办公室</w:t>
            </w:r>
            <w:r>
              <w:rPr>
                <w:rFonts w:hint="eastAsia"/>
                <w:color w:val="000000" w:themeColor="text1"/>
              </w:rPr>
              <w:t>（成员）、</w:t>
            </w:r>
            <w:r>
              <w:rPr>
                <w:rFonts w:hint="eastAsia"/>
                <w:color w:val="000000" w:themeColor="text1"/>
                <w:lang w:val="en-US" w:eastAsia="zh-CN"/>
              </w:rPr>
              <w:t>计量检测人员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rFonts w:hint="eastAsia"/>
                <w:color w:val="000000" w:themeColor="text1"/>
                <w:lang w:val="en-US" w:eastAsia="zh-CN"/>
              </w:rPr>
              <w:t>质量技术部</w:t>
            </w:r>
            <w:r>
              <w:rPr>
                <w:rFonts w:hint="eastAsia"/>
                <w:color w:val="000000" w:themeColor="text1"/>
              </w:rPr>
              <w:t>、</w:t>
            </w:r>
            <w:r>
              <w:rPr>
                <w:rFonts w:hint="eastAsia"/>
                <w:color w:val="000000" w:themeColor="text1"/>
                <w:lang w:val="en-US" w:eastAsia="zh-CN"/>
              </w:rPr>
              <w:t>市场开发</w:t>
            </w:r>
            <w:r>
              <w:rPr>
                <w:rFonts w:hint="eastAsia"/>
                <w:color w:val="000000" w:themeColor="text1"/>
              </w:rPr>
              <w:t>部负责人岗位能力工作权限与内容、任职资格（经验知识个人素质、专业技能）的等作出了规定。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/>
                <w:color w:val="000000" w:themeColor="text1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提供</w:t>
            </w:r>
            <w:r>
              <w:rPr>
                <w:rFonts w:hint="eastAsia"/>
                <w:color w:val="000000" w:themeColor="text1"/>
              </w:rPr>
              <w:t>《</w:t>
            </w:r>
            <w:r>
              <w:rPr>
                <w:rFonts w:hint="eastAsia"/>
                <w:color w:val="000000" w:themeColor="text1"/>
                <w:lang w:val="en-US" w:eastAsia="zh-CN"/>
              </w:rPr>
              <w:t>人员考核记录表</w:t>
            </w:r>
            <w:r>
              <w:rPr>
                <w:rFonts w:hint="eastAsia"/>
                <w:color w:val="000000" w:themeColor="text1"/>
              </w:rPr>
              <w:t>》，其中包括：总经理、管代、各部门负责人、</w:t>
            </w:r>
            <w:r>
              <w:rPr>
                <w:rFonts w:hint="eastAsia"/>
                <w:color w:val="000000" w:themeColor="text1"/>
                <w:lang w:val="en-US" w:eastAsia="zh-CN"/>
              </w:rPr>
              <w:t>专业计量人员</w:t>
            </w:r>
            <w:r>
              <w:rPr>
                <w:rFonts w:hint="eastAsia"/>
                <w:color w:val="000000" w:themeColor="text1"/>
              </w:rPr>
              <w:t>员、职业健康安全事务代表等。能够满足公司QEO管理体系运行以及体系覆盖产品生产和服务的需求。</w:t>
            </w:r>
          </w:p>
          <w:p>
            <w:pPr>
              <w:pStyle w:val="6"/>
              <w:bidi w:val="0"/>
              <w:spacing w:line="360" w:lineRule="auto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</w:rPr>
              <w:t>抽查：</w:t>
            </w:r>
            <w:r>
              <w:rPr>
                <w:rFonts w:hint="eastAsia"/>
                <w:color w:val="000000" w:themeColor="text1"/>
                <w:lang w:val="en-US" w:eastAsia="zh-CN"/>
              </w:rPr>
              <w:t>陈飞燕、李楠、席伟、刘海平</w:t>
            </w:r>
            <w:r>
              <w:rPr>
                <w:rFonts w:hint="eastAsia"/>
                <w:color w:val="000000" w:themeColor="text1"/>
              </w:rPr>
              <w:t>等任职人员，从业务知识、学习创新、</w:t>
            </w:r>
            <w:r>
              <w:rPr>
                <w:color w:val="000000" w:themeColor="text1"/>
              </w:rPr>
              <w:t>执行能力</w:t>
            </w:r>
            <w:r>
              <w:rPr>
                <w:rFonts w:hint="eastAsia"/>
                <w:color w:val="000000" w:themeColor="text1"/>
              </w:rPr>
              <w:t>、协同能力、工作效率等方面任职能力评价，综合评价：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各岗位人员均合格，能满足要求。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</w:rPr>
              <w:t>查《培训记录表》，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内容包括：ISO9001/ISO14001/ISO45001标准的宣贯；质量、环境、职业健康安全管理体系管理手册和程序文件、质量、环境、安全意识；检验员基础知识培训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溯源、量值传递之间的关系、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操作技能和改进环境表现；法规、制度、管理知识培训；应急准备和响应的有关要求；安全生产法规等培训，查培训记录、参加培训人员、培训方式、内容、考核方式等内容。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抽1：201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年1月26日，在会议室进行了ISO45001:2018、 GB/T14001-2016标准相关要素精解、公司应急准备和响应的有关要求的培训，参加人员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孟宏涛、</w:t>
            </w:r>
            <w:r>
              <w:rPr>
                <w:rFonts w:hint="eastAsia"/>
                <w:color w:val="000000" w:themeColor="text1"/>
                <w:lang w:val="en-US" w:eastAsia="zh-CN"/>
              </w:rPr>
              <w:t>陈飞燕、李楠、席伟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等；培训效果评价，达到预期效果。评价人：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周东福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抽2培训时间：2019 .5.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20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，法规、制度、管理知识的培训，培训人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王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老师，培训人员：</w:t>
            </w: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孟宏涛、</w:t>
            </w:r>
            <w:r>
              <w:rPr>
                <w:rFonts w:hint="eastAsia"/>
                <w:color w:val="000000" w:themeColor="text1"/>
                <w:lang w:val="en-US" w:eastAsia="zh-CN"/>
              </w:rPr>
              <w:t>陈飞燕、李楠、席伟</w:t>
            </w: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等。培训取得预期效果。评价人：李老师。</w:t>
            </w:r>
          </w:p>
          <w:p>
            <w:pPr>
              <w:pStyle w:val="6"/>
              <w:widowControl/>
              <w:spacing w:line="360" w:lineRule="auto"/>
              <w:ind w:firstLine="420" w:firstLineChars="200"/>
              <w:jc w:val="left"/>
              <w:rPr>
                <w:rFonts w:ascii="Times New Roman" w:hAnsi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提供相应的培训记录，及人员签到表和培训效果评价。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 w:eastAsia="宋体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提供专业培训记录表：</w:t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2261870</wp:posOffset>
                  </wp:positionH>
                  <wp:positionV relativeFrom="paragraph">
                    <wp:posOffset>49530</wp:posOffset>
                  </wp:positionV>
                  <wp:extent cx="2214245" cy="3224530"/>
                  <wp:effectExtent l="0" t="0" r="8255" b="1270"/>
                  <wp:wrapNone/>
                  <wp:docPr id="3" name="图片 3" descr="c79c34f3ad86834ee66f7363d1b9d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79c34f3ad86834ee66f7363d1b9db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93345</wp:posOffset>
                  </wp:positionV>
                  <wp:extent cx="2259965" cy="3218815"/>
                  <wp:effectExtent l="0" t="0" r="635" b="6985"/>
                  <wp:wrapNone/>
                  <wp:docPr id="2" name="图片 2" descr="0f4306871c5335b349c9c61c047d1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f4306871c5335b349c9c61c047d1b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321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4634865</wp:posOffset>
                  </wp:positionH>
                  <wp:positionV relativeFrom="paragraph">
                    <wp:posOffset>10795</wp:posOffset>
                  </wp:positionV>
                  <wp:extent cx="2167255" cy="3007995"/>
                  <wp:effectExtent l="0" t="0" r="4445" b="1905"/>
                  <wp:wrapNone/>
                  <wp:docPr id="4" name="图片 4" descr="dd03f0d4b714ca40c928f0d310c96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d03f0d4b714ca40c928f0d310c96a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公司有二级计量师7名，计量员6名，提供陕西省技术质量监督局二级注册计量师证书：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孟宏涛，资格证书编号：0001050，计量专业：电磁、力学、温度、光学、化学、长度等，注册日期2018.10.31有效期2021.10.30。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李楠，资格证书编号：0000872，计量专业：温度、长度、电磁、力学、光学、化学等，注册日期2018.10.31有效期2021.10.30。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刘海平，资格证书编号：0000697，计量专业：电磁、无线电、长度、光学、化学、力学等，注册日期2018.10.31有效期2021.10.30。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岳杰，资格证书编号：0000603，计量专业：电磁、温度、长度、光学、化学、力学等，注册日期2018.10.31有效期2021.10.30。</w:t>
            </w:r>
          </w:p>
          <w:p>
            <w:pPr>
              <w:pStyle w:val="6"/>
              <w:widowControl/>
              <w:spacing w:line="360" w:lineRule="auto"/>
              <w:jc w:val="left"/>
              <w:rPr>
                <w:rFonts w:hint="default" w:ascii="Times New Roman" w:hAnsi="Times New Roman"/>
                <w:color w:val="000000" w:themeColor="text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  <w:lang w:val="en-US" w:eastAsia="zh-CN"/>
              </w:rPr>
              <w:t>王正录持高处作业证，证号：T610523199005245573，有效期：2121.12.30.</w:t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-321310</wp:posOffset>
                  </wp:positionV>
                  <wp:extent cx="1854200" cy="2666365"/>
                  <wp:effectExtent l="0" t="0" r="635" b="0"/>
                  <wp:wrapNone/>
                  <wp:docPr id="9" name="图片 9" descr="d4b2246617ecaedfe28b02d026fd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4b2246617ecaedfe28b02d026fd30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4200" cy="26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3463925</wp:posOffset>
                  </wp:positionH>
                  <wp:positionV relativeFrom="paragraph">
                    <wp:posOffset>-539750</wp:posOffset>
                  </wp:positionV>
                  <wp:extent cx="1821180" cy="2717165"/>
                  <wp:effectExtent l="0" t="0" r="635" b="7620"/>
                  <wp:wrapNone/>
                  <wp:docPr id="10" name="图片 10" descr="9e200ea959c581748e4aea5946195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e200ea959c581748e4aea59461954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21180" cy="271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-483235</wp:posOffset>
                  </wp:positionV>
                  <wp:extent cx="1712595" cy="2781300"/>
                  <wp:effectExtent l="0" t="0" r="0" b="1905"/>
                  <wp:wrapNone/>
                  <wp:docPr id="12" name="图片 12" descr="330808a90d5a8d13d5b1d6f1bf855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30808a90d5a8d13d5b1d6f1bf855e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259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38100</wp:posOffset>
                  </wp:positionV>
                  <wp:extent cx="2559050" cy="1753870"/>
                  <wp:effectExtent l="0" t="0" r="6350" b="11430"/>
                  <wp:wrapNone/>
                  <wp:docPr id="11" name="图片 11" descr="36dec010008276ca42eb60c5d268f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6dec010008276ca42eb60c5d268fd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 w:eastAsia="宋体"/>
                <w:color w:val="FF0000"/>
                <w:szCs w:val="21"/>
                <w:lang w:eastAsia="zh-CN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</w:p>
          <w:p>
            <w:pPr>
              <w:pStyle w:val="6"/>
              <w:widowControl/>
              <w:ind w:firstLine="420" w:firstLineChars="200"/>
              <w:jc w:val="left"/>
              <w:rPr>
                <w:rFonts w:hint="eastAsia" w:ascii="Times New Roman" w:hAnsi="Times New Roman"/>
                <w:color w:val="FF0000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Cs w:val="21"/>
              </w:rPr>
              <w:t>目前公司人员比较稳定，人员没有变化，没有新员工，人力资源控制基本满足要求。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color w:val="000000" w:themeColor="text1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运作环境</w:t>
            </w:r>
          </w:p>
        </w:tc>
        <w:tc>
          <w:tcPr>
            <w:tcW w:w="1164" w:type="dxa"/>
          </w:tcPr>
          <w:p>
            <w:pPr>
              <w:spacing w:line="360" w:lineRule="auto"/>
              <w:rPr>
                <w:rFonts w:hint="eastAsia"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Q7.1.4</w:t>
            </w:r>
          </w:p>
        </w:tc>
        <w:tc>
          <w:tcPr>
            <w:tcW w:w="11012" w:type="dxa"/>
          </w:tcPr>
          <w:p>
            <w:pPr>
              <w:spacing w:line="360" w:lineRule="auto"/>
              <w:ind w:firstLine="420" w:firstLineChars="200"/>
            </w:pP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</w:rPr>
              <w:t>过程对环境要求</w:t>
            </w:r>
            <w:r>
              <w:rPr>
                <w:rFonts w:hint="eastAsia"/>
                <w:lang w:val="en-US" w:eastAsia="zh-CN"/>
              </w:rPr>
              <w:t>有要求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采用空调控制温度，</w:t>
            </w:r>
            <w:r>
              <w:rPr>
                <w:rFonts w:hint="eastAsia"/>
              </w:rPr>
              <w:t>各办公区域环境卫生由各部门负责。</w:t>
            </w:r>
          </w:p>
          <w:p>
            <w:pPr>
              <w:spacing w:line="360" w:lineRule="auto"/>
              <w:ind w:firstLine="420" w:firstLineChars="200"/>
            </w:pPr>
            <w:r>
              <w:rPr>
                <w:rFonts w:hint="eastAsia"/>
              </w:rPr>
              <w:t>现场：办公环境光照、温度适宜，通风良好，电路布线合理、电气插座完整，未见破损，办公场所物品摆放整齐、有序，未见随意乱放私人物品的情况，未见用电不当等安全隐患及不良影响现象。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3456305</wp:posOffset>
                  </wp:positionH>
                  <wp:positionV relativeFrom="paragraph">
                    <wp:posOffset>319405</wp:posOffset>
                  </wp:positionV>
                  <wp:extent cx="2675890" cy="2007235"/>
                  <wp:effectExtent l="0" t="0" r="3810" b="12065"/>
                  <wp:wrapNone/>
                  <wp:docPr id="6" name="图片 6" descr="f203c974f828a6d622ed7aeabc7cc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203c974f828a6d622ed7aeabc7cc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200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企业确定并提供了</w:t>
            </w: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</w:rPr>
              <w:t>要求所需的工作环境，工作环境适宜，</w:t>
            </w:r>
            <w:r>
              <w:rPr>
                <w:rFonts w:hint="eastAsia"/>
                <w:lang w:val="en-US" w:eastAsia="zh-CN"/>
              </w:rPr>
              <w:t>对环境温度、湿度进行监控</w:t>
            </w:r>
            <w:r>
              <w:rPr>
                <w:rFonts w:hint="eastAsia"/>
              </w:rPr>
              <w:t>现有工作环境能满足</w:t>
            </w:r>
            <w:r>
              <w:rPr>
                <w:rFonts w:hint="eastAsia"/>
                <w:lang w:val="en-US" w:eastAsia="zh-CN"/>
              </w:rPr>
              <w:t>检测</w:t>
            </w:r>
            <w:r>
              <w:rPr>
                <w:rFonts w:hint="eastAsia"/>
              </w:rPr>
              <w:t>的需要。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hint="default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273050</wp:posOffset>
                  </wp:positionV>
                  <wp:extent cx="2779395" cy="3590290"/>
                  <wp:effectExtent l="0" t="0" r="1905" b="3810"/>
                  <wp:wrapNone/>
                  <wp:docPr id="5" name="图片 5" descr="8e6f3304a249f533031675d42f5f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e6f3304a249f533031675d42f5f70a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6310" t="6017" r="2857" b="60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5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Cs w:val="22"/>
                <w:lang w:val="en-US" w:eastAsia="zh-CN"/>
              </w:rPr>
              <w:t>提供环境监测记录：</w:t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3430905</wp:posOffset>
                  </wp:positionH>
                  <wp:positionV relativeFrom="paragraph">
                    <wp:posOffset>162560</wp:posOffset>
                  </wp:positionV>
                  <wp:extent cx="2851785" cy="2138680"/>
                  <wp:effectExtent l="0" t="0" r="5715" b="7620"/>
                  <wp:wrapNone/>
                  <wp:docPr id="8" name="图片 8" descr="629b5ce4ffa22c54f16cbeadd551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29b5ce4ffa22c54f16cbeadd551ef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8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107950</wp:posOffset>
                  </wp:positionV>
                  <wp:extent cx="4481830" cy="2521585"/>
                  <wp:effectExtent l="0" t="0" r="1270" b="5715"/>
                  <wp:wrapNone/>
                  <wp:docPr id="7" name="图片 7" descr="b492a4660a9ea5eaa11e4b0160e59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492a4660a9ea5eaa11e4b0160e591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830" cy="252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/>
                <w:szCs w:val="21"/>
                <w:lang w:eastAsia="zh-CN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180340</wp:posOffset>
                  </wp:positionV>
                  <wp:extent cx="3535045" cy="2651760"/>
                  <wp:effectExtent l="0" t="0" r="8255" b="2540"/>
                  <wp:wrapNone/>
                  <wp:docPr id="21" name="图片 21" descr="62bf453f886c3290e022973f94210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2bf453f886c3290e022973f94210f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045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/>
                <w:szCs w:val="21"/>
              </w:rPr>
            </w:pPr>
          </w:p>
          <w:p>
            <w:pPr>
              <w:pStyle w:val="3"/>
              <w:ind w:left="0" w:leftChars="0" w:firstLine="0" w:firstLineChars="0"/>
              <w:rPr>
                <w:rFonts w:hint="eastAsia" w:ascii="宋体" w:hAnsi="宋体"/>
                <w:szCs w:val="21"/>
              </w:rPr>
            </w:pP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1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组织的知识</w:t>
            </w:r>
          </w:p>
        </w:tc>
        <w:tc>
          <w:tcPr>
            <w:tcW w:w="1164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Q：7.1.6</w:t>
            </w:r>
          </w:p>
        </w:tc>
        <w:tc>
          <w:tcPr>
            <w:tcW w:w="11012" w:type="dxa"/>
          </w:tcPr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执行知识管理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制度</w:t>
            </w:r>
            <w:r>
              <w:rPr>
                <w:rFonts w:hint="eastAsia" w:ascii="宋体" w:hAnsi="宋体"/>
                <w:szCs w:val="21"/>
              </w:rPr>
              <w:t>，企业确定运行过程所需要的知识，包括专业知识、外部知识。提供了《组织知识清单》，有获取方法、更新方式、责任目标等。</w:t>
            </w:r>
          </w:p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经组织识别，组织内外部知识包括：外部知识、专业知识、管理经验、教训，不断发现问题、解决问题，通过会议，文件传达或制定有关作业指导书并进行培训。</w:t>
            </w:r>
          </w:p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现场看到组织各部门层次基本有相应的管理制度、岗位职责、工作要求等组织内部知识。此外还通过文件发放、会议传达、专题培训等方式进行内部知识的获得、交流和更新等。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</w:pPr>
            <w:r>
              <w:rPr>
                <w:rFonts w:hint="eastAsia"/>
                <w:lang w:val="en-US" w:eastAsia="zh-CN"/>
              </w:rPr>
              <w:t>质量技术部</w:t>
            </w:r>
            <w:r>
              <w:rPr>
                <w:rFonts w:hint="eastAsia"/>
              </w:rPr>
              <w:t>负责整理收集组织相关的知识，定期更新。</w:t>
            </w:r>
          </w:p>
          <w:tbl>
            <w:tblPr>
              <w:tblStyle w:val="12"/>
              <w:tblW w:w="10644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24"/>
              <w:gridCol w:w="770"/>
              <w:gridCol w:w="3560"/>
              <w:gridCol w:w="5060"/>
              <w:gridCol w:w="830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0" w:hRule="atLeast"/>
              </w:trPr>
              <w:tc>
                <w:tcPr>
                  <w:tcW w:w="1064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ind w:firstLine="3990" w:firstLineChars="1900"/>
                    <w:textAlignment w:val="center"/>
                    <w:rPr>
                      <w:rFonts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</w:pPr>
                  <w:r>
                    <w:rPr>
                      <w:rFonts w:hint="eastAsia"/>
                    </w:rPr>
                    <w:t>组织知识清单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00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序号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名称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获取方法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更新方式</w:t>
                  </w:r>
                </w:p>
              </w:tc>
              <w:tc>
                <w:tcPr>
                  <w:tcW w:w="83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责任部门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610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1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专业知识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从网上或有关国家、行业标准、同行交流等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通过更改相关技术要求、作业指导书等并对有关人员进行培训、考核、评价</w:t>
                  </w:r>
                </w:p>
              </w:tc>
              <w:tc>
                <w:tcPr>
                  <w:tcW w:w="830" w:type="dxa"/>
                  <w:vMerge w:val="restart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hint="eastAsia" w:ascii="宋体" w:hAnsi="宋体" w:eastAsia="宋体" w:cs="宋体"/>
                      <w:color w:val="000000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eastAsia="zh-CN" w:bidi="ar"/>
                    </w:rPr>
                    <w:t>综合办公室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22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2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管理经验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网上、先进企业管理方式、总结会议等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通过制定或修改相关文件、制度，并对有关人员进行培训、考核</w:t>
                  </w:r>
                </w:p>
              </w:tc>
              <w:tc>
                <w:tcPr>
                  <w:tcW w:w="83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95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3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教训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从失败、改进、预防措施总结出来经验教训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不断的发现问题、解决问题、总结经验教训，通过会议、文件传达，或制定有关作业指导书等进行培训、学习</w:t>
                  </w:r>
                </w:p>
              </w:tc>
              <w:tc>
                <w:tcPr>
                  <w:tcW w:w="83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70" w:hRule="atLeast"/>
              </w:trPr>
              <w:tc>
                <w:tcPr>
                  <w:tcW w:w="42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center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4</w:t>
                  </w:r>
                </w:p>
              </w:tc>
              <w:tc>
                <w:tcPr>
                  <w:tcW w:w="77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外部知识</w:t>
                  </w:r>
                </w:p>
              </w:tc>
              <w:tc>
                <w:tcPr>
                  <w:tcW w:w="35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通过与顾客、供方等走访、调查、座谈等获取</w:t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br w:type="textWrapping"/>
                  </w: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或从网上搜索有关标准、主管部门文件精神等</w:t>
                  </w:r>
                </w:p>
              </w:tc>
              <w:tc>
                <w:tcPr>
                  <w:tcW w:w="506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widowControl/>
                    <w:jc w:val="left"/>
                    <w:textAlignment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color w:val="000000"/>
                      <w:kern w:val="0"/>
                      <w:sz w:val="18"/>
                      <w:szCs w:val="18"/>
                      <w:lang w:bidi="ar"/>
                    </w:rPr>
                    <w:t>通过修改相应的工艺标准、检验标准等进行更新，并及时对有关人员进行培训学习</w:t>
                  </w:r>
                </w:p>
              </w:tc>
              <w:tc>
                <w:tcPr>
                  <w:tcW w:w="830" w:type="dxa"/>
                  <w:vMerge w:val="continue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center"/>
                    <w:rPr>
                      <w:rFonts w:ascii="宋体" w:hAnsi="宋体" w:cs="宋体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pStyle w:val="3"/>
              <w:ind w:left="0"/>
            </w:pP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pStyle w:val="2"/>
            </w:pPr>
          </w:p>
          <w:p>
            <w:pPr>
              <w:tabs>
                <w:tab w:val="center" w:pos="3169"/>
              </w:tabs>
              <w:spacing w:line="400" w:lineRule="exact"/>
              <w:ind w:firstLine="420" w:firstLineChars="200"/>
              <w:jc w:val="left"/>
            </w:pPr>
            <w:r>
              <w:rPr>
                <w:rFonts w:hint="eastAsia" w:ascii="宋体" w:hAnsi="宋体" w:cs="宋体"/>
                <w:szCs w:val="21"/>
                <w:lang w:bidi="ar"/>
              </w:rPr>
              <w:t>沟通</w:t>
            </w:r>
          </w:p>
        </w:tc>
        <w:tc>
          <w:tcPr>
            <w:tcW w:w="1164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  <w:p>
            <w:pPr>
              <w:pStyle w:val="2"/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QEO：7.4 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</w:p>
        </w:tc>
        <w:tc>
          <w:tcPr>
            <w:tcW w:w="11012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/>
                <w:szCs w:val="21"/>
              </w:rPr>
              <w:t>执行</w:t>
            </w:r>
            <w:r>
              <w:rPr>
                <w:rFonts w:hint="eastAsia" w:ascii="宋体" w:hAnsi="宋体" w:cs="宋体"/>
                <w:szCs w:val="21"/>
                <w:lang w:bidi="ar"/>
              </w:rPr>
              <w:t>《信息交流、沟通和协商控制程序》规定了公司内外信息交流、协商的对象、方式、记录等。对部门之间有需要交流的有关安全健康管理信息，在公司内部利用部门会议、宣传栏进行安全管理方针及目标、指标、管理方案及环保法律法规等内容的宣传、沟通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 公司员工参与协商，员工提出参与安全知识的学习和培训，需要发放劳保用品。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查见内部交流主要通过直接面谈、会议、文件、培训方式，外部交流主要通过电话、信函方式。也可以通过工会等员工权益机构提出诉求。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查见：公司内部会议记录表，沟通信息包括：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告知员工：质量、环境、安全管理者代表是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孟宏涛</w:t>
            </w:r>
            <w:r>
              <w:rPr>
                <w:rFonts w:hint="eastAsia" w:ascii="宋体" w:hAnsi="宋体" w:cs="宋体"/>
                <w:szCs w:val="21"/>
                <w:lang w:bidi="ar"/>
              </w:rPr>
              <w:t>。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告知员工：职业健康安全事务代表是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席伟</w:t>
            </w:r>
            <w:r>
              <w:rPr>
                <w:rFonts w:hint="eastAsia" w:ascii="宋体" w:hAnsi="宋体" w:cs="宋体"/>
                <w:szCs w:val="21"/>
                <w:lang w:bidi="ar"/>
              </w:rPr>
              <w:t>；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告知员工：环境及职业健康安全管理体系建立的依据、标准和意义，因公司未涉及危化品，故未对全体员工出具告知书。</w:t>
            </w:r>
          </w:p>
          <w:p>
            <w:pPr>
              <w:numPr>
                <w:ilvl w:val="0"/>
                <w:numId w:val="3"/>
              </w:num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组织员工学习：与环境及安全健康管理有关的法律法规，包括关于员工权益、保险等内容；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4）将环境管理、劳动保护要求、安全要求和意义作为新员工岗前培训内容。</w:t>
            </w:r>
          </w:p>
          <w:p>
            <w:pPr>
              <w:spacing w:line="240" w:lineRule="auto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询问职业健康安全事务代表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席伟</w:t>
            </w:r>
            <w:r>
              <w:rPr>
                <w:rFonts w:hint="eastAsia" w:ascii="宋体" w:hAnsi="宋体" w:cs="宋体"/>
                <w:szCs w:val="21"/>
                <w:lang w:bidi="ar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Cs w:val="21"/>
              </w:rPr>
              <w:t>经与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席伟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zCs w:val="21"/>
              </w:rPr>
              <w:t>交谈，其清楚自己的职责：负责向管理层反映职工职业健康安全管理方面的要求，对事件的调查、处理，职工劳动防护的改善事宜进行协商交流；参与职业安全健康方针、目标、指标、管理方案的制定工作，提出合理化建议。通过安全事务代表的积极争取，员工的劳保用品得到合理配备并及时发放；员工保险得到按时交纳等。</w:t>
            </w:r>
            <w:r>
              <w:rPr>
                <w:rFonts w:hint="eastAsia" w:ascii="宋体" w:hAnsi="宋体" w:cs="宋体"/>
                <w:szCs w:val="21"/>
                <w:lang w:bidi="ar"/>
              </w:rPr>
              <w:t>了解到暂未发生员工与企业的劳动纠纷、工伤、员工投诉、员工权益争执等情况。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</w:pPr>
            <w:r>
              <w:rPr>
                <w:rFonts w:hint="eastAsia" w:ascii="宋体" w:hAnsi="宋体" w:cs="宋体"/>
                <w:szCs w:val="21"/>
                <w:lang w:bidi="ar"/>
              </w:rPr>
              <w:t>审核时未发现有相关方投诉等安全违规情况发生。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956" w:type="dxa"/>
          </w:tcPr>
          <w:p>
            <w:pPr>
              <w:tabs>
                <w:tab w:val="center" w:pos="3169"/>
              </w:tabs>
              <w:spacing w:line="400" w:lineRule="exact"/>
              <w:ind w:firstLine="420" w:firstLineChars="200"/>
              <w:jc w:val="left"/>
            </w:pPr>
          </w:p>
          <w:p>
            <w:pPr>
              <w:pStyle w:val="2"/>
              <w:ind w:firstLine="420" w:firstLineChars="20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2"/>
              <w:ind w:firstLine="420" w:firstLineChars="200"/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bidi="ar"/>
              </w:rPr>
              <w:t>成文信息</w:t>
            </w:r>
          </w:p>
        </w:tc>
        <w:tc>
          <w:tcPr>
            <w:tcW w:w="1164" w:type="dxa"/>
          </w:tcPr>
          <w:p>
            <w:pPr>
              <w:tabs>
                <w:tab w:val="center" w:pos="3169"/>
              </w:tabs>
              <w:spacing w:line="400" w:lineRule="exact"/>
              <w:jc w:val="left"/>
            </w:pPr>
          </w:p>
          <w:p>
            <w:pPr>
              <w:pStyle w:val="2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pStyle w:val="3"/>
            </w:pP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QEO：7.5 </w:t>
            </w:r>
          </w:p>
          <w:p>
            <w:pPr>
              <w:pStyle w:val="3"/>
              <w:ind w:left="0"/>
            </w:pPr>
          </w:p>
        </w:tc>
        <w:tc>
          <w:tcPr>
            <w:tcW w:w="11012" w:type="dxa"/>
          </w:tcPr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</w:rPr>
              <w:t>编制了</w:t>
            </w:r>
            <w:r>
              <w:rPr>
                <w:rFonts w:hint="eastAsia" w:ascii="宋体" w:hAnsi="宋体" w:cs="宋体"/>
                <w:szCs w:val="21"/>
                <w:lang w:bidi="ar"/>
              </w:rPr>
              <w:t>《文件控制程序》、《记录控制程序》，体系文件生效实施日期为201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9</w:t>
            </w:r>
            <w:r>
              <w:rPr>
                <w:rFonts w:hint="eastAsia" w:ascii="宋体" w:hAnsi="宋体" w:cs="宋体"/>
                <w:szCs w:val="21"/>
                <w:lang w:bidi="ar"/>
              </w:rPr>
              <w:t>年1月1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szCs w:val="21"/>
                <w:lang w:bidi="ar"/>
              </w:rPr>
              <w:t>日，文件规定了质量、环境和安全职业健康文件的编制、审批、评审、编号、回收、发放、更改、换版、作废等的管理和控制。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查《受控文件清单 》，包括管理手册、程序文件，另有公司制定的《火灾应急响应规范》、《目标分解表》等作业文件。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查：《文件、发放回收记录》，抽查文件发放情况，有收文、发文的确认签字，符合文件发放规定。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查：《环境、职业健康安全法律法规及其他要求清单》，内容有国家和地方与质量、环境和职业健康安全管理体系相关适用法律法规。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文件资料基本满足岗位工作需要，并为现行有效版本。</w:t>
            </w:r>
          </w:p>
          <w:p>
            <w:pPr>
              <w:tabs>
                <w:tab w:val="center" w:pos="3169"/>
              </w:tabs>
              <w:spacing w:line="400" w:lineRule="exact"/>
              <w:ind w:firstLine="210" w:firstLineChars="100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查文件的评审及更新：管理评审时对文件的适宜性及可操作性进行评审：适宜、可操作。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  查文件的作废：暂无作废文件。电子文档需要责任部门留下发放记录，并告知换页处置要求。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文件按需求和公司管理规定发放至有关部门和人员，查有发放记录，符合。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口头提出待改进项目：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未对电子文档的安全性管理做出明确规定。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 xml:space="preserve"> ----有《记录控制程序》，对记录表单的设计、编号、填写、贮存、保管、保护、检索、保存期限、到期处置等方面规定了要求并按此程序控制。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提供《记录清单（含质量、环境安全）》，规定了记录的名称、编号、责任部门、保存期限等内容。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核对标准规定的应保留的记录和保存期限，标准所规定的记录均涵盖，保存期限规定的合理。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记录清单中对记录的管理、控制进行明确的分工。</w:t>
            </w:r>
            <w:r>
              <w:rPr>
                <w:rFonts w:hint="eastAsia" w:ascii="宋体" w:hAnsi="宋体" w:cs="宋体"/>
                <w:szCs w:val="21"/>
                <w:lang w:val="en-US" w:eastAsia="zh-CN" w:bidi="ar"/>
              </w:rPr>
              <w:t>综合办公室</w:t>
            </w:r>
            <w:r>
              <w:rPr>
                <w:rFonts w:hint="eastAsia" w:ascii="宋体" w:hAnsi="宋体" w:cs="宋体"/>
                <w:szCs w:val="21"/>
                <w:lang w:bidi="ar"/>
              </w:rPr>
              <w:t>主要负责归档公司质量、环境及职业健康安全的标识、编目、保管、贮存，负责本程序的归口管理。见保管的记录：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a. 法律、法规及其他要求清单；b.年度培训计划等记录；c.管理评审计划等记录；d.危险源辨识及风险评价台帐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e.培训申请表f.岗位人员能力评定记录。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hint="eastAsia" w:ascii="宋体" w:hAnsi="宋体" w:eastAsia="宋体" w:cs="宋体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szCs w:val="21"/>
                <w:lang w:bidi="ar"/>
              </w:rPr>
              <w:t>所见记录反映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综合办公室</w:t>
            </w:r>
            <w:r>
              <w:rPr>
                <w:rFonts w:hint="eastAsia" w:ascii="宋体" w:hAnsi="宋体" w:cs="宋体"/>
                <w:szCs w:val="21"/>
                <w:lang w:bidi="ar"/>
              </w:rPr>
              <w:t>能够按照记录控制要求进行管理，记录保存完整，填写清晰、工整。记录控制符合要求</w:t>
            </w:r>
            <w:r>
              <w:rPr>
                <w:rFonts w:hint="eastAsia" w:ascii="宋体" w:hAnsi="宋体" w:cs="宋体"/>
                <w:szCs w:val="21"/>
                <w:lang w:eastAsia="zh-CN" w:bidi="ar"/>
              </w:rPr>
              <w:t>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</w:trPr>
        <w:tc>
          <w:tcPr>
            <w:tcW w:w="1956" w:type="dxa"/>
          </w:tcPr>
          <w:p>
            <w:pPr>
              <w:pStyle w:val="2"/>
              <w:ind w:firstLine="420" w:firstLineChars="200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3"/>
              <w:rPr>
                <w:rFonts w:ascii="宋体" w:hAnsi="宋体" w:cs="宋体"/>
                <w:kern w:val="2"/>
                <w:szCs w:val="21"/>
                <w:lang w:bidi="ar"/>
              </w:rPr>
            </w:pPr>
          </w:p>
          <w:p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</w:p>
          <w:p>
            <w:pPr>
              <w:pStyle w:val="2"/>
              <w:rPr>
                <w:rFonts w:ascii="宋体" w:hAnsi="宋体" w:cs="宋体"/>
                <w:b w:val="0"/>
                <w:bCs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bidi="ar"/>
              </w:rPr>
              <w:t>监视、测量、分析和评价</w:t>
            </w:r>
          </w:p>
        </w:tc>
        <w:tc>
          <w:tcPr>
            <w:tcW w:w="1164" w:type="dxa"/>
          </w:tcPr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  <w:rPr>
                <w:rFonts w:ascii="宋体" w:hAnsi="宋体" w:cs="新宋体"/>
                <w:szCs w:val="21"/>
              </w:rPr>
            </w:pPr>
          </w:p>
          <w:p>
            <w:pPr>
              <w:pStyle w:val="3"/>
              <w:ind w:left="0"/>
            </w:pPr>
            <w:r>
              <w:rPr>
                <w:rFonts w:hint="eastAsia" w:ascii="宋体" w:hAnsi="宋体" w:cs="Arial"/>
                <w:spacing w:val="-6"/>
                <w:szCs w:val="21"/>
              </w:rPr>
              <w:t>Q：9.1.1</w:t>
            </w:r>
            <w:r>
              <w:rPr>
                <w:rFonts w:hint="eastAsia" w:ascii="宋体" w:hAnsi="宋体" w:cs="Arial"/>
                <w:szCs w:val="21"/>
              </w:rPr>
              <w:t>、Q：9.1.3</w:t>
            </w:r>
          </w:p>
        </w:tc>
        <w:tc>
          <w:tcPr>
            <w:tcW w:w="11012" w:type="dxa"/>
          </w:tcPr>
          <w:p>
            <w:pPr>
              <w:autoSpaceDE w:val="0"/>
              <w:autoSpaceDN w:val="0"/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编制了《产品监测及绩效监测控制程序》公司规定了管理体系相关信息的收集、汇总、分析、处理、传递的要求。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组织各部门策划和实施必要的监视和测量活动，确保产品、体系和过程的符合性，以持续改进质量管理体系的有效性。公司的过程和体系的监视和测量主要是通过内审、管理评审、目标考核以及日常工作监督、产品检验、顾客满意度测量等的方式完成。</w:t>
            </w:r>
          </w:p>
          <w:p>
            <w:pPr>
              <w:spacing w:line="360" w:lineRule="auto"/>
              <w:ind w:firstLine="42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提供《日常监督记录表》，</w:t>
            </w:r>
            <w:r>
              <w:rPr>
                <w:rFonts w:hint="eastAsia" w:ascii="宋体" w:hAnsi="宋体" w:cs="宋体"/>
                <w:szCs w:val="21"/>
              </w:rPr>
              <w:t>从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人员资格及资格保持情况、作业指导书及执行情况、校准/检测/检定方法为现行有效、设备检定/校准均在有效期内、仪器设备操作熟练、环境和设施均满足试验要求、样品标识均符合要求、所有原始记录按照规定进行填写，见证资料等方面进行评价。</w:t>
            </w:r>
          </w:p>
          <w:p>
            <w:pPr>
              <w:spacing w:line="360" w:lineRule="auto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4568825</wp:posOffset>
                  </wp:positionH>
                  <wp:positionV relativeFrom="paragraph">
                    <wp:posOffset>147320</wp:posOffset>
                  </wp:positionV>
                  <wp:extent cx="2230755" cy="3321685"/>
                  <wp:effectExtent l="0" t="0" r="4445" b="5715"/>
                  <wp:wrapNone/>
                  <wp:docPr id="15" name="图片 15" descr="2815e183d038ded77f41e807eefa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815e183d038ded77f41e807eefa77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332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2353945</wp:posOffset>
                  </wp:positionH>
                  <wp:positionV relativeFrom="paragraph">
                    <wp:posOffset>278765</wp:posOffset>
                  </wp:positionV>
                  <wp:extent cx="2176780" cy="3230245"/>
                  <wp:effectExtent l="0" t="0" r="7620" b="8255"/>
                  <wp:wrapNone/>
                  <wp:docPr id="14" name="图片 14" descr="ff7692904dd546bacc944bfae9bd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f7692904dd546bacc944bfae9bdec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80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抽2019.06.28、2019.07.09监督记录，</w:t>
            </w: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4445</wp:posOffset>
                  </wp:positionV>
                  <wp:extent cx="2219960" cy="3169285"/>
                  <wp:effectExtent l="0" t="0" r="2540" b="5715"/>
                  <wp:wrapNone/>
                  <wp:docPr id="13" name="图片 13" descr="69504b29c4c78f88c32c853b6f3c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9504b29c4c78f88c32c853b6f3ca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31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4608195</wp:posOffset>
                  </wp:positionH>
                  <wp:positionV relativeFrom="paragraph">
                    <wp:posOffset>58420</wp:posOffset>
                  </wp:positionV>
                  <wp:extent cx="2270760" cy="3323590"/>
                  <wp:effectExtent l="0" t="0" r="2540" b="3810"/>
                  <wp:wrapNone/>
                  <wp:docPr id="18" name="图片 18" descr="57cec0e76bfc1931761e45cf415f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cec0e76bfc1931761e45cf415f39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332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2416175</wp:posOffset>
                  </wp:positionH>
                  <wp:positionV relativeFrom="paragraph">
                    <wp:posOffset>99695</wp:posOffset>
                  </wp:positionV>
                  <wp:extent cx="2154555" cy="3290570"/>
                  <wp:effectExtent l="0" t="0" r="4445" b="11430"/>
                  <wp:wrapNone/>
                  <wp:docPr id="17" name="图片 17" descr="7c9bfed742e0b62a7e84470a7a321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c9bfed742e0b62a7e84470a7a3217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32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41910</wp:posOffset>
                  </wp:positionV>
                  <wp:extent cx="2371090" cy="3348355"/>
                  <wp:effectExtent l="0" t="0" r="3810" b="4445"/>
                  <wp:wrapNone/>
                  <wp:docPr id="16" name="图片 16" descr="3e1ea9964627dcabfa656740300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3e1ea9964627dcabfa65674030034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33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eastAsia="宋体" w:cs="宋体"/>
                <w:szCs w:val="21"/>
                <w:lang w:eastAsia="zh-CN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综合办公室</w:t>
            </w:r>
            <w:r>
              <w:rPr>
                <w:rFonts w:hint="eastAsia" w:ascii="宋体" w:hAnsi="宋体" w:cs="宋体"/>
                <w:szCs w:val="21"/>
              </w:rPr>
              <w:t>负责对体系、过程的日常监测和质量目标完成情况进行统计分析。对目标完成情况进行收集和统计分析，并制作目标完成情况统计表。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cs="宋体"/>
                <w:szCs w:val="21"/>
              </w:rPr>
              <w:t>负责对供方业绩予以评价，对供方业绩实施了监视和测量，并对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检测</w:t>
            </w:r>
            <w:r>
              <w:rPr>
                <w:rFonts w:hint="eastAsia" w:ascii="宋体" w:hAnsi="宋体" w:cs="宋体"/>
                <w:szCs w:val="21"/>
              </w:rPr>
              <w:t>过程的监视和测量活动进行了策划和实施。</w:t>
            </w:r>
          </w:p>
          <w:p>
            <w:pPr>
              <w:autoSpaceDE w:val="0"/>
              <w:autoSpaceDN w:val="0"/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市场开发部</w:t>
            </w:r>
            <w:r>
              <w:rPr>
                <w:rFonts w:hint="eastAsia" w:ascii="宋体" w:hAnsi="宋体" w:cs="宋体"/>
                <w:szCs w:val="21"/>
              </w:rPr>
              <w:t>对顾客满意度进行了定期评价和分析。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公司日常通过对市场信息、目标完成情况及适宜性、营销人员过程工作监督、产品质量检验、顾客满意对测量及反馈等作为分析评价的输入，并根据输出情况及时采取了相应措施并改进，公司针对其他信息，进行了随时利用，但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并</w:t>
            </w:r>
            <w:r>
              <w:rPr>
                <w:rFonts w:hint="eastAsia" w:ascii="宋体" w:hAnsi="宋体" w:cs="宋体"/>
                <w:szCs w:val="21"/>
              </w:rPr>
              <w:t>保持相关记录，公司已建立了信息收集的渠道，并实施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。</w:t>
            </w:r>
          </w:p>
          <w:p>
            <w:pPr>
              <w:tabs>
                <w:tab w:val="center" w:pos="3169"/>
              </w:tabs>
              <w:spacing w:line="400" w:lineRule="exact"/>
              <w:jc w:val="left"/>
              <w:rPr>
                <w:rFonts w:ascii="宋体" w:hAnsi="宋体" w:cs="宋体"/>
                <w:szCs w:val="21"/>
                <w:lang w:bidi="ar"/>
              </w:rPr>
            </w:pPr>
            <w:r>
              <w:rPr>
                <w:rFonts w:hint="eastAsia" w:ascii="宋体" w:hAnsi="宋体" w:cs="宋体"/>
                <w:szCs w:val="21"/>
              </w:rPr>
              <w:t>公司已对管理体系的监视、测量、分析和评价进行了策划，基本能够按照要求实施。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不合格和纠正措施</w:t>
            </w:r>
          </w:p>
        </w:tc>
        <w:tc>
          <w:tcPr>
            <w:tcW w:w="116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hAnsi="宋体" w:cs="Arial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QEO：10.2</w:t>
            </w:r>
          </w:p>
          <w:p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</w:p>
        </w:tc>
        <w:tc>
          <w:tcPr>
            <w:tcW w:w="11012" w:type="dxa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保持实施《事故、事件、不符合、纠正和预防措施控制程序》，对纠正预防措施识别、评审、验证，事故事件报告、调查、处理等作了规定，其内容符合组织实际及标准要求。 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查纠正措施实施情况：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对体系运行过程中产生不合格的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校准报告</w:t>
            </w:r>
            <w:r>
              <w:rPr>
                <w:rFonts w:hint="eastAsia" w:ascii="宋体" w:hAnsi="宋体" w:cs="宋体"/>
                <w:szCs w:val="21"/>
              </w:rPr>
              <w:t>，公司提供纠正措施实施报告。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抽查到：1）</w:t>
            </w:r>
            <w:r>
              <w:rPr>
                <w:rFonts w:hint="eastAsia" w:ascii="宋体" w:hAnsi="宋体"/>
              </w:rPr>
              <w:t>201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lang w:val="en-US" w:eastAsia="zh-CN"/>
              </w:rPr>
              <w:t>07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日</w:t>
            </w:r>
            <w:r>
              <w:rPr>
                <w:rFonts w:hint="eastAsia" w:ascii="宋体" w:hAnsi="宋体" w:cs="宋体"/>
                <w:szCs w:val="21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证书/报告更改/补发申请表</w:t>
            </w:r>
            <w:r>
              <w:rPr>
                <w:rFonts w:hint="eastAsia" w:ascii="宋体" w:hAnsi="宋体" w:cs="宋体"/>
                <w:szCs w:val="21"/>
              </w:rPr>
              <w:t>》，不合格事实：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游标卡尺上的出厂编号为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23010167，校准人员将游标卡子上的出厂编号写为：23010106J。</w:t>
            </w:r>
            <w:r>
              <w:rPr>
                <w:rFonts w:hint="eastAsia" w:ascii="宋体" w:hAnsi="宋体" w:cs="宋体"/>
                <w:szCs w:val="21"/>
              </w:rPr>
              <w:t>责任部门负责人对问题进行了原因分析：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并进行了纠正，重新补发了证书。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2）对内审中提出不合格项进行了原因分析,并制定、实施了纠正措施，并由内审员对所采取的纠正措施进行了验证，纠正措施有效，管理评审中发现的薄弱环节，分析了原因，采取了纠正措施。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体系运行以来公司按照体系的要求，通过运行控制、加强培训，以及开展管理评审活动等方式采取预防措施，防止不符合/不合格的发生，不符合得到了有效控制，人员质量、环保、安全意识有了明显提高，没有发现潜在的不符合，没有发生重大质量事故和投诉处罚，没有发生环境、职业健康安全事件和投诉处罚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企业纠正和预防措施的管理符合标准规定要求。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环境因素/危险源</w:t>
            </w:r>
          </w:p>
        </w:tc>
        <w:tc>
          <w:tcPr>
            <w:tcW w:w="1164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pStyle w:val="3"/>
              <w:ind w:left="0" w:leftChars="0" w:firstLine="0" w:firstLineChars="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：6.1.2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12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企业编制了《环境因素识别与评价控制程序》、《危险源辨识和风险评价控制程序》，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综合办公室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作为环境和职业健康安全管理体系的推进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部门，主要负责识别评价相关的环境因素及危险源。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各部门根据业务范围分别识别，最后由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统一汇总。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提供了“环境因素识别评价汇总表”，识别考虑了正常、异常、紧急，过去、现在、未来三种时态，考虑了供方、客户等可施加影响的环境因素。其中涉及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的环境因素主要有水、电、纸张资源及生活固废排放、办公固废排放、火灾等，识别时能考虑产品生命周期观点。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查“重要环境因素清单”，采取多因子评价法，评价出固体废弃物排放、火灾事故的发生等2项重要环境因素。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经评价本部门的重要环境因素为日常办公过程中固体废弃物排放、火灾事故的发生等2项重要环境因素。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控制措施：固废分类存放、办公危废交耗材供应公司，垃圾由环卫部门拉走，包装物分类卖掉，日常培训，日常检查，配备消防器材等措施。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危险源辨识和风险评价一览表”，识别了办公过程、采购及销售过程、检验过程中的危险源。包括办公、采购、销售、检验等过程中的办公设备辐射、办公车辆使用等使用不当导致人身伤害、检验活动过程中的划伤；采购及销售过程中的运输汽车事故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涉及本部门的危险源有办公活动过程中电脑辐射、被桌柜撞伤、线路老化触电、火灾等。经评价本部门重大危险源：电器使用操作不当引起的触电、火灾事故。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提供“重大危险源清单”，对识别的危险源采取D=LEC进行评价，评价出重大危险源3个，包括：火灾、人员伤害、触电事故等。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危险源控制执行管理方案、配备消防器材、个体防护、日常检查、日常培训教育等运行控制措施等。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合规义务</w:t>
            </w:r>
          </w:p>
        </w:tc>
        <w:tc>
          <w:tcPr>
            <w:tcW w:w="1164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：6.1.3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12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建立实施了《法律法规和其他要求获取、确认及合规性评价程序》。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查《质量--法律法规和其他要求清单》，共识别相关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质量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法律法规：2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项；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环境--法律法规和其他要求清单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共识别相关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环境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法律法规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37项；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职业健康安全--法律法规和其他要求清单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》，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共识别相关职业健康安全法律法规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36项。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其中包括：最新版的《中华人民共和国环境保护法》、《中华人民共和国固体废物污染环境防治法》、《中华人民共和国水污染防治法》、《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陕西省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消防条例》、《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陕西省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劳动保障和监察条例》、《环境行政处罚办法》、《中华人民共和国安全生产法》、《中华人民共和国职业病防治法》、《工伤保险条例》等。已识别法律法规及其它要求的适用条款，能与环境因素、危险源向对应。</w:t>
            </w:r>
          </w:p>
          <w:p>
            <w:pPr>
              <w:tabs>
                <w:tab w:val="left" w:pos="6597"/>
              </w:tabs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质量技术部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根据需要随时网上获取、识别更新，并通过培训、宣传、会议等形式传达给员工和相关方，各部门如有需要随时到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查阅。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措施的策划</w:t>
            </w:r>
          </w:p>
        </w:tc>
        <w:tc>
          <w:tcPr>
            <w:tcW w:w="1164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：6.1.4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根据环境因素和危险源的风险辨识结果，分别制定出“重要环境因素清单”、“重大危险源清单”，清单内明确了控制措施计划，通过具体的措施进行有效控制：目标、管理方案、管理制度运行控制、应急预案、日常检查、日常培训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制定了《法律法规和其他要求获取、确认及合规性评价程序》、《产品监测及绩效监测控制程序》，每年对公司适用的合规义务进行识别更新并定期评价、检查。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1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合规性评价</w:t>
            </w:r>
          </w:p>
        </w:tc>
        <w:tc>
          <w:tcPr>
            <w:tcW w:w="11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 xml:space="preserve">：9.1.2 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公司制定了：《合规性评价程序》，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查“环境法律法规及其他要求合规性评价记录表”，对公司适用的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个法律法规和其他要求进行了评价，全部符合要求。评价结果表明，公司废弃物的排放符合国家法律法规要求，未发生环境事故; 公司经营活动符合国家环保等法律法规要求。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查“适用职业健康安全法律法规标准和其他要求合规性评价记录表”，对公司适用的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个法律法规和其他要求进行了评价，全部符合要求。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监视、测量、分析和评价</w:t>
            </w:r>
          </w:p>
        </w:tc>
        <w:tc>
          <w:tcPr>
            <w:tcW w:w="1164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hint="eastAsia" w:ascii="宋体" w:hAnsi="宋体" w:eastAsia="宋体" w:cs="宋体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：9.1.1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12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公司编制《产品监测及绩效监测控制程序》，部门通过月度巡查考核对各部门进行监控。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查“质量、环境和职业健康安全目标指标考核表”，2019.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.5日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对质量、环境、职业健康安全目标完成情况进行了检测，目标能按期达成，检查人：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查到“管理方案检测表”对管理方案完成情况进行了检查，措施基本能按期，其余的预计年底完成，检查日期2019.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.5日，检查人：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提供“环境安全管理检查记录”，每月对各部门进行环境安全事项的例行检查，检查项目包括资源能源使用、固体废弃物管理、污水控制、消防设施管理、管理方案控制等。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抽查1）2019.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.20日对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业务计量室，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查得分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2）20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20.1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.6日对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检查得分94分，检查人：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3）20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.23日对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质量技术部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检查得分9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分，检查人：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孟宏涛、李楠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提供“消防器材检查记录”，每月对各部门进行线路和消防的例行检查。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left="0" w:leftChars="0" w:firstLine="420" w:firstLineChars="200"/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《企业日常自查表》，对疫情相关的方面进行了监视、检测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ind w:left="0" w:leftChars="0" w:firstLine="729" w:firstLineChars="0"/>
              <w:jc w:val="left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提供日常监督检测原始记录，每月对人员设备的操作、作业指导书的执行、检测方法的有效性等方面进行监督，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提供2019.6.8对证书编号：XASLJZ19590003和2019.07.09对证书编号：XASLJZ19590004的监督记录。</w:t>
            </w: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3593465</wp:posOffset>
                  </wp:positionH>
                  <wp:positionV relativeFrom="paragraph">
                    <wp:posOffset>88900</wp:posOffset>
                  </wp:positionV>
                  <wp:extent cx="1566545" cy="2320290"/>
                  <wp:effectExtent l="0" t="0" r="8255" b="3810"/>
                  <wp:wrapNone/>
                  <wp:docPr id="28" name="图片 28" descr="34a4b68d77af47f632ffa00effccd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4a4b68d77af47f632ffa00effccd4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232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71120</wp:posOffset>
                  </wp:positionV>
                  <wp:extent cx="1663700" cy="2289810"/>
                  <wp:effectExtent l="0" t="0" r="0" b="8890"/>
                  <wp:wrapNone/>
                  <wp:docPr id="27" name="图片 27" descr="1ca52f495a8f7d9db4ba157e2630b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ca52f495a8f7d9db4ba157e2630b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3810</wp:posOffset>
                  </wp:positionV>
                  <wp:extent cx="1732280" cy="2310130"/>
                  <wp:effectExtent l="0" t="0" r="7620" b="1270"/>
                  <wp:wrapNone/>
                  <wp:docPr id="26" name="图片 26" descr="6b5095fa45ef64b911475ae3ee4d5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b5095fa45ef64b911475ae3ee4d5b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5236210</wp:posOffset>
                  </wp:positionH>
                  <wp:positionV relativeFrom="paragraph">
                    <wp:posOffset>1905</wp:posOffset>
                  </wp:positionV>
                  <wp:extent cx="1637030" cy="2327910"/>
                  <wp:effectExtent l="0" t="0" r="1270" b="8890"/>
                  <wp:wrapNone/>
                  <wp:docPr id="29" name="图片 29" descr="5db3e496d42f2dccbb19c43438bde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5db3e496d42f2dccbb19c43438bded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3804920</wp:posOffset>
                  </wp:positionH>
                  <wp:positionV relativeFrom="paragraph">
                    <wp:posOffset>267970</wp:posOffset>
                  </wp:positionV>
                  <wp:extent cx="1650365" cy="2331085"/>
                  <wp:effectExtent l="0" t="0" r="635" b="5715"/>
                  <wp:wrapNone/>
                  <wp:docPr id="32" name="图片 32" descr="96b49666a7f79ed9f10c74c88ecd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96b49666a7f79ed9f10c74c88ecda3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23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2042795</wp:posOffset>
                  </wp:positionH>
                  <wp:positionV relativeFrom="paragraph">
                    <wp:posOffset>191135</wp:posOffset>
                  </wp:positionV>
                  <wp:extent cx="1770380" cy="2360295"/>
                  <wp:effectExtent l="0" t="0" r="7620" b="1905"/>
                  <wp:wrapNone/>
                  <wp:docPr id="31" name="图片 31" descr="93458c6a2fdd4b9c5801e87cac683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3458c6a2fdd4b9c5801e87cac6838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254635</wp:posOffset>
                  </wp:positionV>
                  <wp:extent cx="1722755" cy="2298700"/>
                  <wp:effectExtent l="0" t="0" r="4445" b="0"/>
                  <wp:wrapNone/>
                  <wp:docPr id="30" name="图片 30" descr="2e73fbf4f4f42396a56bc93d0bcb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e73fbf4f4f42396a56bc93d0bcb83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7提供安全检查记录：</w:t>
            </w: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、经交流确认，公司无安全、环境检测设备。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、经交流确认，公司员工不涉及职业病。</w:t>
            </w:r>
          </w:p>
        </w:tc>
        <w:tc>
          <w:tcPr>
            <w:tcW w:w="577" w:type="dxa"/>
          </w:tcPr>
          <w:p>
            <w:pPr>
              <w:rPr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atLeast"/>
        </w:trPr>
        <w:tc>
          <w:tcPr>
            <w:tcW w:w="1956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运行策划和控制</w:t>
            </w:r>
          </w:p>
        </w:tc>
        <w:tc>
          <w:tcPr>
            <w:tcW w:w="1164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8.1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财务支持</w:t>
            </w:r>
          </w:p>
        </w:tc>
        <w:tc>
          <w:tcPr>
            <w:tcW w:w="11012" w:type="dxa"/>
            <w:vAlign w:val="center"/>
          </w:tcPr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公司制定并实施了《节约能源资源管理办法》、《火灾应急响应规范》、《消防安全管理程序》、《能源资源管理程序》、《固体废弃物控制程序》、《环境保护管理办法》、《劳保、消防用品管理办法》、《职工安全守则》、《相关方管理程序》、等环境与职业健康安全控制程序和管理制度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企业位于西安经济技术开发区草滩六路268号，公司四周是其他企业单位，无医院、学校、加油站、化工厂等敏感区。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定期组织环保和安全知识培训，员工具备了基本的环保和职业健康安全防护意识。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查财务支出，公司为环境和职业健康安全管理体系的运行，及时提供了财务资金支持，主要用于培训、垃圾处理、保险、劳保用品等，2019.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.30日统计支出约5万元。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查到20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20年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“劳保用品发放登记表”,记录了劳保用品名称：手套、口罩、套袖、洗衣粉、卫生纸；数量：各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；领用人：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李楠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，发放人：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张娟娟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内主要是电的使用，安装有漏电保护器，现场巡视办公区域电线、电气插座完整，未见隐患。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办公纸张尽量采取双面打印，人走灯灭，定期检查水管跑冒滴漏。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垃圾主要包含可回收垃圾、硒鼓、废纸。配置了垃圾筒，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对可回收的固体废弃物，一部分由厂家回收，厂家不回收的公司统一回收再利用或由物资回收公司处理。不可回收的废弃物由公司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统一处理，各部门不得单独处理。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查到“废弃物处置统计表”，记录了日常生活、办公过程中的可回收及不可回收的废弃物的处理情况。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抽2019.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6日的废弃物处理情况，废弃物种类：废硒鼓1个、废包装物60kg、废办公用纸：10kg。处置方法：回收或由环卫部门处理。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部门运行控制基本符合规定要求。</w:t>
            </w:r>
          </w:p>
        </w:tc>
        <w:tc>
          <w:tcPr>
            <w:tcW w:w="577" w:type="dxa"/>
          </w:tcPr>
          <w:p>
            <w:pPr>
              <w:rPr>
                <w:rFonts w:hint="eastAsia" w:ascii="宋体" w:hAnsi="宋体" w:eastAsia="宋体" w:cs="宋体"/>
                <w:color w:val="000000" w:themeColor="text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2" w:hRule="atLeast"/>
        </w:trPr>
        <w:tc>
          <w:tcPr>
            <w:tcW w:w="1956" w:type="dxa"/>
            <w:vAlign w:val="center"/>
          </w:tcPr>
          <w:p>
            <w:pP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应急准备和响应</w:t>
            </w:r>
          </w:p>
        </w:tc>
        <w:tc>
          <w:tcPr>
            <w:tcW w:w="1164" w:type="dxa"/>
            <w:vAlign w:val="top"/>
          </w:tcPr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E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：：8.2 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1012" w:type="dxa"/>
            <w:vAlign w:val="top"/>
          </w:tcPr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编制了《应急准备和响应控制程序》，确定的紧急情况有：火灾、触电，提供了紧急情况的《应急预案》。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提供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《火灾爆炸事故专项应急预案》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《触电事故专项应急预案》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，其中包括目的、适用范围、职责、应急处理细则、演习、必备资料等，相关内容基本充分。编制：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陈飞燕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，批准：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，201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年1月。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现场查看办公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内没有配备消防设施，不符合要求，开具了不符合报告。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查201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日进行的“应急预案演练记录”，包括预案名称：消防应急预案；组织部门：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综合办公室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；总指挥：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孟宏涛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全体员工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参加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演练部分：灭火器使用，初期火灾扑灭；另外还记录了物资准备和人员培训情况、现场培训、演练过程描述等内容。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演练后对应急预案进行了评审，评审结论：演练后，根据演练情况，认为应急预案与本公司情况基本符合，具有可操作性，暂不用修订。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2020年2月，针对新冠肺炎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疫情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公司制定了管理制度</w:t>
            </w: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包括：口罩发放、消杀消毒频次及记录等。</w:t>
            </w: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4283075</wp:posOffset>
                  </wp:positionH>
                  <wp:positionV relativeFrom="paragraph">
                    <wp:posOffset>134620</wp:posOffset>
                  </wp:positionV>
                  <wp:extent cx="2355215" cy="3485515"/>
                  <wp:effectExtent l="0" t="0" r="6985" b="6985"/>
                  <wp:wrapNone/>
                  <wp:docPr id="25" name="图片 25" descr="4eddb431fb42d693a09e58182ca50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eddb431fb42d693a09e58182ca50af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8921" t="16037" b="8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348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-527050</wp:posOffset>
                  </wp:positionV>
                  <wp:extent cx="3005455" cy="4320540"/>
                  <wp:effectExtent l="0" t="0" r="10160" b="4445"/>
                  <wp:wrapNone/>
                  <wp:docPr id="22" name="图片 22" descr="6d4142221acb7507de4288c9d4d9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d4142221acb7507de4288c9d4d927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005455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3608070</wp:posOffset>
                  </wp:positionH>
                  <wp:positionV relativeFrom="paragraph">
                    <wp:posOffset>16510</wp:posOffset>
                  </wp:positionV>
                  <wp:extent cx="2898775" cy="4157345"/>
                  <wp:effectExtent l="0" t="0" r="9525" b="8255"/>
                  <wp:wrapNone/>
                  <wp:docPr id="24" name="图片 24" descr="424d18f9c34f5ec2517fb35f6a5d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24d18f9c34f5ec2517fb35f6a5d17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415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-186690</wp:posOffset>
                  </wp:positionH>
                  <wp:positionV relativeFrom="paragraph">
                    <wp:posOffset>697865</wp:posOffset>
                  </wp:positionV>
                  <wp:extent cx="4217670" cy="3041650"/>
                  <wp:effectExtent l="0" t="0" r="6350" b="11430"/>
                  <wp:wrapNone/>
                  <wp:docPr id="23" name="图片 23" descr="302cbea9865a237551bd73f3ab52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02cbea9865a237551bd73f3ab5258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17670" cy="30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sz w:val="21"/>
                <w:szCs w:val="21"/>
              </w:rPr>
            </w:pPr>
            <w:bookmarkStart w:id="0" w:name="_GoBack"/>
            <w:bookmarkEnd w:id="0"/>
          </w:p>
          <w:p>
            <w:pPr>
              <w:spacing w:line="360" w:lineRule="auto"/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自体系运行以来尚未发生紧急情况。</w:t>
            </w:r>
          </w:p>
        </w:tc>
        <w:tc>
          <w:tcPr>
            <w:tcW w:w="577" w:type="dxa"/>
          </w:tcPr>
          <w:p>
            <w:pPr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</w:pPr>
          </w:p>
          <w:p>
            <w:pPr>
              <w:pStyle w:val="3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N</w:t>
            </w: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  <w:p>
            <w:pPr>
              <w:pStyle w:val="3"/>
              <w:rPr>
                <w:rFonts w:hint="eastAsia" w:ascii="宋体" w:hAnsi="宋体" w:eastAsia="宋体" w:cs="宋体"/>
                <w:color w:val="000000" w:themeColor="text1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pStyle w:val="9"/>
      </w:pPr>
      <w:r>
        <w:rPr>
          <w:rFonts w:hint="eastAsia" w:ascii="宋体" w:hAnsi="宋体" w:eastAsia="宋体" w:cs="宋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20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20"/>
        <w:rFonts w:hint="default"/>
      </w:rPr>
      <w:t>北京国标联合认证有限公司</w:t>
    </w:r>
    <w:r>
      <w:rPr>
        <w:rStyle w:val="20"/>
        <w:rFonts w:hint="default"/>
      </w:rPr>
      <w:tab/>
    </w:r>
    <w:r>
      <w:rPr>
        <w:rStyle w:val="20"/>
        <w:rFonts w:hint="default"/>
      </w:rPr>
      <w:tab/>
    </w:r>
    <w:r>
      <w:rPr>
        <w:rStyle w:val="20"/>
        <w:rFonts w:hint="default"/>
      </w:rPr>
      <w:tab/>
    </w:r>
  </w:p>
  <w:p>
    <w:pPr>
      <w:pStyle w:val="10"/>
      <w:pBdr>
        <w:bottom w:val="none" w:color="auto" w:sz="0" w:space="1"/>
      </w:pBdr>
      <w:spacing w:line="320" w:lineRule="exact"/>
      <w:jc w:val="left"/>
    </w:pPr>
    <w:r>
      <w:pict>
        <v:shape id="文本框 1" o:spid="_x0000_s4097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</w:t>
                </w:r>
              </w:p>
            </w:txbxContent>
          </v:textbox>
        </v:shape>
      </w:pict>
    </w:r>
    <w:r>
      <w:rPr>
        <w:rStyle w:val="20"/>
        <w:rFonts w:hint="default"/>
      </w:rPr>
      <w:t xml:space="preserve">        </w:t>
    </w:r>
    <w:r>
      <w:rPr>
        <w:rStyle w:val="20"/>
        <w:rFonts w:hint="default"/>
        <w:w w:val="90"/>
      </w:rPr>
      <w:t>Beijing International Standard united Certification Co.,Ltd.</w:t>
    </w:r>
    <w:r>
      <w:rPr>
        <w:rStyle w:val="20"/>
        <w:rFonts w:hint="default"/>
        <w:w w:val="90"/>
        <w:szCs w:val="21"/>
      </w:rPr>
      <w:t xml:space="preserve">  </w:t>
    </w:r>
    <w:r>
      <w:rPr>
        <w:rStyle w:val="20"/>
        <w:rFonts w:hint="default"/>
        <w:w w:val="90"/>
        <w:sz w:val="20"/>
      </w:rPr>
      <w:t xml:space="preserve"> </w:t>
    </w:r>
    <w:r>
      <w:rPr>
        <w:rStyle w:val="20"/>
        <w:rFonts w:hint="default"/>
        <w:w w:val="90"/>
      </w:rPr>
      <w:t xml:space="preserve">                   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F30867"/>
    <w:multiLevelType w:val="singleLevel"/>
    <w:tmpl w:val="F4F3086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0000000B"/>
    <w:multiLevelType w:val="multilevel"/>
    <w:tmpl w:val="0000000B"/>
    <w:lvl w:ilvl="0" w:tentative="0">
      <w:start w:val="1"/>
      <w:numFmt w:val="none"/>
      <w:pStyle w:val="21"/>
      <w:lvlText w:val="表"/>
      <w:lvlJc w:val="left"/>
      <w:pPr>
        <w:tabs>
          <w:tab w:val="left" w:pos="360"/>
        </w:tabs>
        <w:ind w:left="0" w:firstLine="0"/>
      </w:pPr>
      <w:rPr>
        <w:rFonts w:hint="eastAsia" w:ascii="黑体" w:eastAsia="黑体"/>
        <w:b w:val="0"/>
        <w:i w:val="0"/>
        <w:sz w:val="21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000014"/>
    <w:multiLevelType w:val="multilevel"/>
    <w:tmpl w:val="00000014"/>
    <w:lvl w:ilvl="0" w:tentative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hint="eastAsia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abstractNum w:abstractNumId="3">
    <w:nsid w:val="558A54BD"/>
    <w:multiLevelType w:val="singleLevel"/>
    <w:tmpl w:val="558A54B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3373A"/>
    <w:rsid w:val="001A2D7F"/>
    <w:rsid w:val="00216381"/>
    <w:rsid w:val="00234E37"/>
    <w:rsid w:val="00337922"/>
    <w:rsid w:val="00340867"/>
    <w:rsid w:val="00380837"/>
    <w:rsid w:val="003A198A"/>
    <w:rsid w:val="00410914"/>
    <w:rsid w:val="0047492E"/>
    <w:rsid w:val="00536930"/>
    <w:rsid w:val="00564E53"/>
    <w:rsid w:val="005879D0"/>
    <w:rsid w:val="00644FE2"/>
    <w:rsid w:val="0067640C"/>
    <w:rsid w:val="006915E5"/>
    <w:rsid w:val="006E678B"/>
    <w:rsid w:val="00774C81"/>
    <w:rsid w:val="007757F3"/>
    <w:rsid w:val="007E6AEB"/>
    <w:rsid w:val="00882229"/>
    <w:rsid w:val="008973EE"/>
    <w:rsid w:val="00971600"/>
    <w:rsid w:val="009973B4"/>
    <w:rsid w:val="009C28C1"/>
    <w:rsid w:val="009F7EED"/>
    <w:rsid w:val="00AF0AAB"/>
    <w:rsid w:val="00BF597E"/>
    <w:rsid w:val="00C51A36"/>
    <w:rsid w:val="00C55228"/>
    <w:rsid w:val="00C96CCE"/>
    <w:rsid w:val="00CB7E78"/>
    <w:rsid w:val="00CE315A"/>
    <w:rsid w:val="00D06F59"/>
    <w:rsid w:val="00D8388C"/>
    <w:rsid w:val="00EB0164"/>
    <w:rsid w:val="00ED0F62"/>
    <w:rsid w:val="01237055"/>
    <w:rsid w:val="014321E6"/>
    <w:rsid w:val="02602D37"/>
    <w:rsid w:val="02A361C3"/>
    <w:rsid w:val="02EC0344"/>
    <w:rsid w:val="031C06B3"/>
    <w:rsid w:val="036A70FE"/>
    <w:rsid w:val="03F04342"/>
    <w:rsid w:val="043A2F29"/>
    <w:rsid w:val="055A79E5"/>
    <w:rsid w:val="06B657DF"/>
    <w:rsid w:val="06D549D6"/>
    <w:rsid w:val="06EA2337"/>
    <w:rsid w:val="06FF764D"/>
    <w:rsid w:val="07074179"/>
    <w:rsid w:val="072106AC"/>
    <w:rsid w:val="07F82E75"/>
    <w:rsid w:val="08037204"/>
    <w:rsid w:val="08713D93"/>
    <w:rsid w:val="088E4159"/>
    <w:rsid w:val="08FC0128"/>
    <w:rsid w:val="090D6A35"/>
    <w:rsid w:val="094249D9"/>
    <w:rsid w:val="0A4E083A"/>
    <w:rsid w:val="0A527FAF"/>
    <w:rsid w:val="0A8A1863"/>
    <w:rsid w:val="0A991BFD"/>
    <w:rsid w:val="0ACC5B2B"/>
    <w:rsid w:val="0B522200"/>
    <w:rsid w:val="0B53515A"/>
    <w:rsid w:val="0C0A0CD1"/>
    <w:rsid w:val="0D457309"/>
    <w:rsid w:val="0D7B30E8"/>
    <w:rsid w:val="0D985F2F"/>
    <w:rsid w:val="0DBE1270"/>
    <w:rsid w:val="0DC26A87"/>
    <w:rsid w:val="0E4201EE"/>
    <w:rsid w:val="0E9D1693"/>
    <w:rsid w:val="0EB50B3B"/>
    <w:rsid w:val="0EF04609"/>
    <w:rsid w:val="0F477E75"/>
    <w:rsid w:val="0F635936"/>
    <w:rsid w:val="0FE43FBC"/>
    <w:rsid w:val="0FEF77FA"/>
    <w:rsid w:val="107550D5"/>
    <w:rsid w:val="108219C2"/>
    <w:rsid w:val="10883E8A"/>
    <w:rsid w:val="110B0911"/>
    <w:rsid w:val="11225C23"/>
    <w:rsid w:val="113D55B8"/>
    <w:rsid w:val="11C66B5E"/>
    <w:rsid w:val="11D41D45"/>
    <w:rsid w:val="120E53B5"/>
    <w:rsid w:val="123034E8"/>
    <w:rsid w:val="125E29DC"/>
    <w:rsid w:val="127575BD"/>
    <w:rsid w:val="12780633"/>
    <w:rsid w:val="130B599F"/>
    <w:rsid w:val="142C5ADC"/>
    <w:rsid w:val="143D632D"/>
    <w:rsid w:val="143D7BB1"/>
    <w:rsid w:val="14890295"/>
    <w:rsid w:val="153717A5"/>
    <w:rsid w:val="156D05A1"/>
    <w:rsid w:val="15774AEE"/>
    <w:rsid w:val="157D5558"/>
    <w:rsid w:val="15B23614"/>
    <w:rsid w:val="15D30DE7"/>
    <w:rsid w:val="16440ED9"/>
    <w:rsid w:val="16543128"/>
    <w:rsid w:val="16F7510A"/>
    <w:rsid w:val="17924A21"/>
    <w:rsid w:val="17A67230"/>
    <w:rsid w:val="17BE048E"/>
    <w:rsid w:val="18327362"/>
    <w:rsid w:val="18D3715E"/>
    <w:rsid w:val="197C75B5"/>
    <w:rsid w:val="1A57282B"/>
    <w:rsid w:val="1AA210F7"/>
    <w:rsid w:val="1AC67B71"/>
    <w:rsid w:val="1B0065D0"/>
    <w:rsid w:val="1B087E14"/>
    <w:rsid w:val="1BAA2FBD"/>
    <w:rsid w:val="1CAD5010"/>
    <w:rsid w:val="1D1242D7"/>
    <w:rsid w:val="1D86717A"/>
    <w:rsid w:val="1E350D4D"/>
    <w:rsid w:val="1E54581A"/>
    <w:rsid w:val="1E6E174C"/>
    <w:rsid w:val="1ED45FD8"/>
    <w:rsid w:val="200E4909"/>
    <w:rsid w:val="202C6533"/>
    <w:rsid w:val="20444302"/>
    <w:rsid w:val="20961A16"/>
    <w:rsid w:val="21122D5D"/>
    <w:rsid w:val="221C084C"/>
    <w:rsid w:val="227257C1"/>
    <w:rsid w:val="22B709AE"/>
    <w:rsid w:val="22D7582D"/>
    <w:rsid w:val="23235F87"/>
    <w:rsid w:val="23732F32"/>
    <w:rsid w:val="24BD65A1"/>
    <w:rsid w:val="255D6D75"/>
    <w:rsid w:val="25C71E86"/>
    <w:rsid w:val="25D826BB"/>
    <w:rsid w:val="261D2BC4"/>
    <w:rsid w:val="263E019F"/>
    <w:rsid w:val="26BB47F8"/>
    <w:rsid w:val="26F45C8F"/>
    <w:rsid w:val="27571BB0"/>
    <w:rsid w:val="275D5156"/>
    <w:rsid w:val="282355F9"/>
    <w:rsid w:val="28C8582D"/>
    <w:rsid w:val="28DF2BCF"/>
    <w:rsid w:val="291202D2"/>
    <w:rsid w:val="299C23FC"/>
    <w:rsid w:val="29AA0642"/>
    <w:rsid w:val="29AF13DF"/>
    <w:rsid w:val="29F80E54"/>
    <w:rsid w:val="2B3D669F"/>
    <w:rsid w:val="2B612389"/>
    <w:rsid w:val="2C04664A"/>
    <w:rsid w:val="2C917839"/>
    <w:rsid w:val="2CAE49F5"/>
    <w:rsid w:val="2CD45FEF"/>
    <w:rsid w:val="2D297257"/>
    <w:rsid w:val="2D8E612A"/>
    <w:rsid w:val="2DCF4236"/>
    <w:rsid w:val="2DF31F93"/>
    <w:rsid w:val="2E057899"/>
    <w:rsid w:val="2E620A04"/>
    <w:rsid w:val="2E9176CC"/>
    <w:rsid w:val="2EA7415A"/>
    <w:rsid w:val="2ED7287D"/>
    <w:rsid w:val="2F5D67DC"/>
    <w:rsid w:val="2F7A01DB"/>
    <w:rsid w:val="30FD47FD"/>
    <w:rsid w:val="310367F7"/>
    <w:rsid w:val="310F2B74"/>
    <w:rsid w:val="31BB2B41"/>
    <w:rsid w:val="31CD2D76"/>
    <w:rsid w:val="32734E29"/>
    <w:rsid w:val="327711BB"/>
    <w:rsid w:val="32860EED"/>
    <w:rsid w:val="32A818D5"/>
    <w:rsid w:val="330F505D"/>
    <w:rsid w:val="33137513"/>
    <w:rsid w:val="3328502A"/>
    <w:rsid w:val="332B0841"/>
    <w:rsid w:val="33997DE2"/>
    <w:rsid w:val="3494193A"/>
    <w:rsid w:val="34DA7F4E"/>
    <w:rsid w:val="352019F8"/>
    <w:rsid w:val="35AE2D88"/>
    <w:rsid w:val="35C13BFD"/>
    <w:rsid w:val="35C26EE4"/>
    <w:rsid w:val="38103FE1"/>
    <w:rsid w:val="3814590E"/>
    <w:rsid w:val="387E5472"/>
    <w:rsid w:val="38C248EF"/>
    <w:rsid w:val="393A51D1"/>
    <w:rsid w:val="39A04658"/>
    <w:rsid w:val="3B59769B"/>
    <w:rsid w:val="3B5F54C4"/>
    <w:rsid w:val="3BF3205C"/>
    <w:rsid w:val="3C871C4F"/>
    <w:rsid w:val="3C9A2BF5"/>
    <w:rsid w:val="3D5B555C"/>
    <w:rsid w:val="3D951246"/>
    <w:rsid w:val="3D9A6CF0"/>
    <w:rsid w:val="3DB92AC4"/>
    <w:rsid w:val="3EC07009"/>
    <w:rsid w:val="3F1C24D3"/>
    <w:rsid w:val="3F1F20F4"/>
    <w:rsid w:val="3FFD17CC"/>
    <w:rsid w:val="40425DD8"/>
    <w:rsid w:val="406E64DA"/>
    <w:rsid w:val="40882793"/>
    <w:rsid w:val="40FF3C83"/>
    <w:rsid w:val="416877C4"/>
    <w:rsid w:val="41846EFA"/>
    <w:rsid w:val="41C50928"/>
    <w:rsid w:val="42A83790"/>
    <w:rsid w:val="42D005BA"/>
    <w:rsid w:val="42D62122"/>
    <w:rsid w:val="43543C1C"/>
    <w:rsid w:val="43587CD0"/>
    <w:rsid w:val="43B04046"/>
    <w:rsid w:val="44483C60"/>
    <w:rsid w:val="45BE3CAA"/>
    <w:rsid w:val="461A5941"/>
    <w:rsid w:val="461C30E9"/>
    <w:rsid w:val="463175C9"/>
    <w:rsid w:val="46A0119E"/>
    <w:rsid w:val="46CB5A97"/>
    <w:rsid w:val="46DB4564"/>
    <w:rsid w:val="479033F0"/>
    <w:rsid w:val="47FF0F4B"/>
    <w:rsid w:val="48160645"/>
    <w:rsid w:val="48210BFD"/>
    <w:rsid w:val="48752520"/>
    <w:rsid w:val="48D92A98"/>
    <w:rsid w:val="493A73ED"/>
    <w:rsid w:val="4A02594A"/>
    <w:rsid w:val="4A174CB7"/>
    <w:rsid w:val="4B511DE2"/>
    <w:rsid w:val="4B7E721E"/>
    <w:rsid w:val="4C017549"/>
    <w:rsid w:val="4CFF3B84"/>
    <w:rsid w:val="4D4E2263"/>
    <w:rsid w:val="4EA8785F"/>
    <w:rsid w:val="4F9420A0"/>
    <w:rsid w:val="4FA333A8"/>
    <w:rsid w:val="4FC219C0"/>
    <w:rsid w:val="50A05722"/>
    <w:rsid w:val="50FA26C7"/>
    <w:rsid w:val="51B07021"/>
    <w:rsid w:val="52BF26AB"/>
    <w:rsid w:val="53444639"/>
    <w:rsid w:val="546315FC"/>
    <w:rsid w:val="55204D35"/>
    <w:rsid w:val="552B454E"/>
    <w:rsid w:val="556D7264"/>
    <w:rsid w:val="55C73815"/>
    <w:rsid w:val="56880B28"/>
    <w:rsid w:val="56CD4008"/>
    <w:rsid w:val="56DE0281"/>
    <w:rsid w:val="578E143A"/>
    <w:rsid w:val="58886998"/>
    <w:rsid w:val="58AE4BFC"/>
    <w:rsid w:val="58D04D08"/>
    <w:rsid w:val="58D12569"/>
    <w:rsid w:val="59226013"/>
    <w:rsid w:val="593A21B0"/>
    <w:rsid w:val="594D1804"/>
    <w:rsid w:val="5955745C"/>
    <w:rsid w:val="5A2C536F"/>
    <w:rsid w:val="5A4F418C"/>
    <w:rsid w:val="5A8710A3"/>
    <w:rsid w:val="5AFE756D"/>
    <w:rsid w:val="5B4A53A2"/>
    <w:rsid w:val="5C083D41"/>
    <w:rsid w:val="5C872F74"/>
    <w:rsid w:val="5D036FFF"/>
    <w:rsid w:val="5E243229"/>
    <w:rsid w:val="5E2D3CAF"/>
    <w:rsid w:val="5E7D51D5"/>
    <w:rsid w:val="5E9A53DF"/>
    <w:rsid w:val="5EA12B9A"/>
    <w:rsid w:val="5EAC1CF0"/>
    <w:rsid w:val="5EB9199F"/>
    <w:rsid w:val="5EBF0B8F"/>
    <w:rsid w:val="5F5C20A2"/>
    <w:rsid w:val="5F6B5B9C"/>
    <w:rsid w:val="5FC26D77"/>
    <w:rsid w:val="601217D3"/>
    <w:rsid w:val="60C97544"/>
    <w:rsid w:val="615960EE"/>
    <w:rsid w:val="61B4110F"/>
    <w:rsid w:val="61F25C0D"/>
    <w:rsid w:val="61FE677C"/>
    <w:rsid w:val="628F5DE4"/>
    <w:rsid w:val="62E84468"/>
    <w:rsid w:val="63244403"/>
    <w:rsid w:val="63272C6B"/>
    <w:rsid w:val="634C0405"/>
    <w:rsid w:val="634D35C3"/>
    <w:rsid w:val="63577018"/>
    <w:rsid w:val="63A076AF"/>
    <w:rsid w:val="63B15496"/>
    <w:rsid w:val="63BC1E27"/>
    <w:rsid w:val="64450F89"/>
    <w:rsid w:val="64816A20"/>
    <w:rsid w:val="64C23928"/>
    <w:rsid w:val="652C57B3"/>
    <w:rsid w:val="65967FA2"/>
    <w:rsid w:val="65D63B50"/>
    <w:rsid w:val="660A7F70"/>
    <w:rsid w:val="6626385E"/>
    <w:rsid w:val="67706016"/>
    <w:rsid w:val="689F5105"/>
    <w:rsid w:val="693B0827"/>
    <w:rsid w:val="69416448"/>
    <w:rsid w:val="69A060E5"/>
    <w:rsid w:val="6A2D6512"/>
    <w:rsid w:val="6ABD5712"/>
    <w:rsid w:val="6AC66944"/>
    <w:rsid w:val="6B5621A9"/>
    <w:rsid w:val="6BD211F2"/>
    <w:rsid w:val="6C1C5AEE"/>
    <w:rsid w:val="6C8464CC"/>
    <w:rsid w:val="6CE7352A"/>
    <w:rsid w:val="6DEF6D71"/>
    <w:rsid w:val="6E5E28AB"/>
    <w:rsid w:val="6E9844C6"/>
    <w:rsid w:val="6ED008C7"/>
    <w:rsid w:val="6F1C0C18"/>
    <w:rsid w:val="6F2F6271"/>
    <w:rsid w:val="6F3944D9"/>
    <w:rsid w:val="6F4E570C"/>
    <w:rsid w:val="6FB02F06"/>
    <w:rsid w:val="6FDF3742"/>
    <w:rsid w:val="70DD4915"/>
    <w:rsid w:val="7140022C"/>
    <w:rsid w:val="71430325"/>
    <w:rsid w:val="720476F4"/>
    <w:rsid w:val="723E7AE4"/>
    <w:rsid w:val="7259038B"/>
    <w:rsid w:val="725D5CB2"/>
    <w:rsid w:val="72716478"/>
    <w:rsid w:val="72724CB0"/>
    <w:rsid w:val="72BE5A93"/>
    <w:rsid w:val="72F5594B"/>
    <w:rsid w:val="73724608"/>
    <w:rsid w:val="744E64E8"/>
    <w:rsid w:val="75147C44"/>
    <w:rsid w:val="753A3ACD"/>
    <w:rsid w:val="755D14B0"/>
    <w:rsid w:val="757229A2"/>
    <w:rsid w:val="75873C45"/>
    <w:rsid w:val="75EA0CC5"/>
    <w:rsid w:val="76520262"/>
    <w:rsid w:val="76B811E6"/>
    <w:rsid w:val="76D0356B"/>
    <w:rsid w:val="771C2CCF"/>
    <w:rsid w:val="7724202B"/>
    <w:rsid w:val="77260C9B"/>
    <w:rsid w:val="78104A82"/>
    <w:rsid w:val="78113928"/>
    <w:rsid w:val="782B046B"/>
    <w:rsid w:val="789A3093"/>
    <w:rsid w:val="78B623DE"/>
    <w:rsid w:val="79BA1408"/>
    <w:rsid w:val="79EC345A"/>
    <w:rsid w:val="7A037F40"/>
    <w:rsid w:val="7B1156A0"/>
    <w:rsid w:val="7B1D7775"/>
    <w:rsid w:val="7B5444C2"/>
    <w:rsid w:val="7CC273FE"/>
    <w:rsid w:val="7D3751AD"/>
    <w:rsid w:val="7D726D57"/>
    <w:rsid w:val="7DA350EE"/>
    <w:rsid w:val="7DAD7FDA"/>
    <w:rsid w:val="7DB8777E"/>
    <w:rsid w:val="7ED67998"/>
    <w:rsid w:val="7F021588"/>
    <w:rsid w:val="7F601B7C"/>
    <w:rsid w:val="7F8F18F2"/>
    <w:rsid w:val="7FBD30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4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Plain Text"/>
    <w:basedOn w:val="1"/>
    <w:qFormat/>
    <w:uiPriority w:val="0"/>
    <w:rPr>
      <w:rFonts w:ascii="宋体" w:hAnsi="Courier New"/>
    </w:rPr>
  </w:style>
  <w:style w:type="paragraph" w:styleId="7">
    <w:name w:val="Date"/>
    <w:basedOn w:val="1"/>
    <w:next w:val="1"/>
    <w:qFormat/>
    <w:uiPriority w:val="0"/>
    <w:pPr>
      <w:widowControl/>
      <w:ind w:left="100" w:leftChars="2500"/>
      <w:jc w:val="left"/>
    </w:pPr>
    <w:rPr>
      <w:kern w:val="0"/>
    </w:r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qFormat/>
    <w:uiPriority w:val="0"/>
  </w:style>
  <w:style w:type="paragraph" w:customStyle="1" w:styleId="16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character" w:customStyle="1" w:styleId="17">
    <w:name w:val="页眉 Char"/>
    <w:basedOn w:val="14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"/>
    <w:basedOn w:val="14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批注框文本 Char"/>
    <w:basedOn w:val="14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21">
    <w:name w:val="附录表标题"/>
    <w:next w:val="1"/>
    <w:qFormat/>
    <w:uiPriority w:val="0"/>
    <w:pPr>
      <w:numPr>
        <w:ilvl w:val="0"/>
        <w:numId w:val="1"/>
      </w:numPr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22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1013</Words>
  <Characters>5780</Characters>
  <Lines>48</Lines>
  <Paragraphs>13</Paragraphs>
  <TotalTime>2</TotalTime>
  <ScaleCrop>false</ScaleCrop>
  <LinksUpToDate>false</LinksUpToDate>
  <CharactersWithSpaces>6780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LIL</cp:lastModifiedBy>
  <dcterms:modified xsi:type="dcterms:W3CDTF">2020-04-10T00:39:49Z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