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978"/>
        <w:gridCol w:w="2287"/>
        <w:gridCol w:w="775"/>
        <w:gridCol w:w="2263"/>
        <w:gridCol w:w="1200"/>
        <w:gridCol w:w="22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88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西安硕隆计量检测有限公司</w:t>
            </w:r>
            <w:bookmarkEnd w:id="4"/>
          </w:p>
        </w:tc>
        <w:tc>
          <w:tcPr>
            <w:tcW w:w="120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6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88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7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63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spacing w:line="280" w:lineRule="exact"/>
              <w:ind w:firstLine="803" w:firstLineChars="400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7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b/>
                <w:sz w:val="20"/>
              </w:rPr>
              <w:t>34.05.00;34.06.00</w:t>
            </w:r>
          </w:p>
        </w:tc>
        <w:tc>
          <w:tcPr>
            <w:tcW w:w="7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78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1、检测/校准服务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、维修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流程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委托检测→签订委托协议→综合办公室受理、接收计量设备→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维修（</w:t>
            </w:r>
            <w:bookmarkStart w:id="6" w:name="_GoBack"/>
            <w:bookmarkEnd w:id="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如需要）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→计量设备校准→填写原始记录→原始数据校对与审核→检测报告编制、审核与签发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2、设计服务流程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客户设计咨询→质量技术确认→质量技术部出具设计方案→客户确认方案→出具设计方案→用户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3、咨询服务流程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用户提出要求→分析要求→报价、拟合同→制定产品指标、产品标准→完善技术文件→提交审核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4、销售服务流程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接收用户订单→签订合同→按照合同要求开始检测任务/合同相关需求—出具收费明细单→开具发票→合同款项回收→合同完成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78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关键过程：计量检定/校准过程，需严格按照国家检定规程和校准规范执行。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78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重大环境因素：火灾， 固废排放；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控制措施：集中收集外售至废品回收站； 设备、电路定期检修、不定期检查，提高安全意识；做好火灾预防措施。一旦发生按相关应急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78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重大危险源：人身伤害、触电、火灾；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控制措施：目标指标和管理方案、管理规定、运行控制、应急预案、检查控制、教育培训。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78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中华人民共和国产品质量法、计量法、标准化法、环保法、安全生产法、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JJG 205-2005机械式温湿度计检定规程、JJG 368-2000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工作用铜-铜镍热电偶计检定规程、JJF 1587-2016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数字多用表校准规范、 JJG 1036-2008电子天平检定规程、JJG 52-2013 弹性元件式一般压力表和压力真空表检定规程等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786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786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4056380</wp:posOffset>
            </wp:positionH>
            <wp:positionV relativeFrom="paragraph">
              <wp:posOffset>104775</wp:posOffset>
            </wp:positionV>
            <wp:extent cx="382905" cy="302895"/>
            <wp:effectExtent l="0" t="0" r="10795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1276985</wp:posOffset>
            </wp:positionH>
            <wp:positionV relativeFrom="paragraph">
              <wp:posOffset>71755</wp:posOffset>
            </wp:positionV>
            <wp:extent cx="382905" cy="302895"/>
            <wp:effectExtent l="0" t="0" r="1079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  <w:lang w:val="en-US" w:eastAsia="zh-CN"/>
        </w:rPr>
        <w:t xml:space="preserve">2020.3.29  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  <w:lang w:val="en-US" w:eastAsia="zh-CN"/>
        </w:rPr>
        <w:t>2020.3.29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A47893"/>
    <w:rsid w:val="1AE5267F"/>
    <w:rsid w:val="2C0142F2"/>
    <w:rsid w:val="335048CA"/>
    <w:rsid w:val="380212ED"/>
    <w:rsid w:val="40F2103D"/>
    <w:rsid w:val="429308C8"/>
    <w:rsid w:val="49194556"/>
    <w:rsid w:val="4A830C62"/>
    <w:rsid w:val="61772A87"/>
    <w:rsid w:val="7D32004A"/>
    <w:rsid w:val="7D4974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2020-04-09T06:30:42Z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