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诚信管理体系：初次认证第（二）阶段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江西华鑫环宇科技集团有限公司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