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65"/>
        <w:gridCol w:w="1288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任丘市鸿通通讯器材有限公司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任丘市麻家坞镇南马庄村东北侧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58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韩庆伟</w:t>
            </w:r>
            <w:bookmarkEnd w:id="2"/>
          </w:p>
        </w:tc>
        <w:tc>
          <w:tcPr>
            <w:tcW w:w="1288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15131735550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061000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58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解军威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15131735550@139.com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58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0034-2020-O</w:t>
            </w:r>
            <w:bookmarkEnd w:id="8"/>
          </w:p>
        </w:tc>
        <w:tc>
          <w:tcPr>
            <w:tcW w:w="129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7" w:name="_GoBack"/>
            <w:bookmarkStart w:id="13" w:name="审核范围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通讯线路铁件、塑料管材、皮线光缆保护盒、通讯箱体、井具、木杆、水泥标志桩、钢管、跳线、五金电料、钢材、电子产品的销售</w:t>
            </w:r>
            <w:bookmarkEnd w:id="13"/>
            <w:r>
              <w:rPr>
                <w:b w:val="0"/>
                <w:bCs w:val="0"/>
                <w:sz w:val="21"/>
                <w:szCs w:val="21"/>
              </w:rPr>
              <w:t>及其场所所涉及的职业健康安全管理活动</w:t>
            </w:r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2020年03月30日 上午至2020年03月30日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49300" cy="360680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2020.3.29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2020.3.29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2020.3.30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8:00- 8:30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8:30-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危险源辨识、风险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：组织的岗位、职责权限；目标、指标管理方案；危险源识别评价；文件化信息；人员；能力；意识；沟通；运行控制；应急准备和响应；法律法规要求；绩效的监视和测量；合规性评价；事件、不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及纠正措施；内部审核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涉及条款：5.3/5.4/6.2/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12：00-13：00为午休时间。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980311"/>
    <w:rsid w:val="47E17E57"/>
    <w:rsid w:val="77C80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2020-03-28T10:35:34Z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