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太原市聚尼耐磨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9 8:30:00上午至2023-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太原市尖草坪区向阳镇向阳村百发建材市场2号车间南跨西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太原市尖草坪区向阳镇向阳村百发建材市场2号车间南跨西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0日 上午至2023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