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szCs w:val="44"/>
          <w:u w:val="single"/>
        </w:rPr>
        <w:t>0059-2020-QEO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北京京研电力工程设计有限公司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2179" w:type="dxa"/>
            <w:gridSpan w:val="2"/>
          </w:tcPr>
          <w:p>
            <w:pPr>
              <w:rPr>
                <w:rFonts w:hint="eastAsia"/>
                <w:b/>
                <w:szCs w:val="21"/>
              </w:rPr>
            </w:pPr>
            <w:r>
              <w:rPr>
                <w:rFonts w:hint="eastAsia"/>
                <w:b/>
                <w:szCs w:val="21"/>
              </w:rPr>
              <w:t>Q：34.01.02</w:t>
            </w:r>
          </w:p>
          <w:p>
            <w:pPr>
              <w:rPr>
                <w:rFonts w:hint="eastAsia"/>
                <w:b/>
                <w:szCs w:val="21"/>
              </w:rPr>
            </w:pPr>
            <w:r>
              <w:rPr>
                <w:rFonts w:hint="eastAsia"/>
                <w:b/>
                <w:szCs w:val="21"/>
              </w:rPr>
              <w:t>E：34.01.02</w:t>
            </w:r>
          </w:p>
          <w:p>
            <w:pPr>
              <w:rPr>
                <w:b/>
                <w:szCs w:val="21"/>
              </w:rPr>
            </w:pPr>
            <w:r>
              <w:rPr>
                <w:rFonts w:hint="eastAsia"/>
                <w:b/>
                <w:szCs w:val="21"/>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spacing w:line="240" w:lineRule="exact"/>
              <w:rPr>
                <w:b/>
                <w:color w:val="000000"/>
                <w:sz w:val="20"/>
                <w:szCs w:val="20"/>
              </w:rPr>
            </w:pPr>
          </w:p>
        </w:tc>
        <w:tc>
          <w:tcPr>
            <w:tcW w:w="3402" w:type="dxa"/>
            <w:gridSpan w:val="5"/>
          </w:tcPr>
          <w:p>
            <w:pPr>
              <w:spacing w:line="240" w:lineRule="exact"/>
              <w:rPr>
                <w:b/>
                <w:color w:val="000000"/>
                <w:sz w:val="20"/>
                <w:szCs w:val="20"/>
              </w:rPr>
            </w:pPr>
          </w:p>
        </w:tc>
        <w:tc>
          <w:tcPr>
            <w:tcW w:w="2179" w:type="dxa"/>
            <w:gridSpan w:val="2"/>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北京京研电力工程设计有限公司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2" w:name="注册地址"/>
            <w:r>
              <w:t>北京市海淀区羊坊店东路21号院1号楼601房间</w:t>
            </w:r>
            <w:bookmarkEnd w:id="2"/>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bookmarkStart w:id="3" w:name="生产地址"/>
            <w:r>
              <w:t>北京市海淀区羊坊店东路21号院1号楼601房间</w:t>
            </w:r>
            <w:bookmarkEnd w:id="3"/>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4" w:name="联系人"/>
            <w:r>
              <w:t>许芳</w:t>
            </w:r>
            <w:bookmarkEnd w:id="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5" w:name="联系人手机"/>
            <w:r>
              <w:t>13901066543</w:t>
            </w:r>
            <w:bookmarkEnd w:id="5"/>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6" w:name="法人"/>
            <w:r>
              <w:t>袁敬中</w:t>
            </w:r>
            <w:bookmarkEnd w:id="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val="en-US" w:eastAsia="zh-CN"/>
              </w:rPr>
            </w:pPr>
            <w:r>
              <w:rPr>
                <w:rFonts w:hint="eastAsia"/>
              </w:rPr>
              <w:t>许芳</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2019年8月10日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tcPr>
          <w:p>
            <w:pPr>
              <w:rPr>
                <w:rFonts w:hint="eastAsia"/>
                <w:color w:val="000000"/>
                <w:szCs w:val="21"/>
              </w:rPr>
            </w:pPr>
            <w:bookmarkStart w:id="7" w:name="审核范围"/>
            <w:r>
              <w:rPr>
                <w:rFonts w:hint="eastAsia" w:ascii="宋体" w:hAnsi="宋体"/>
                <w:szCs w:val="21"/>
              </w:rPr>
              <w:t>Q：电力工程技术咨询；资质范围内的电力工程（变电工程、送电工程）设计</w:t>
            </w:r>
          </w:p>
          <w:p>
            <w:pPr>
              <w:rPr>
                <w:rFonts w:hint="eastAsia" w:ascii="宋体" w:hAnsi="宋体"/>
                <w:szCs w:val="21"/>
              </w:rPr>
            </w:pPr>
            <w:r>
              <w:rPr>
                <w:rFonts w:hint="eastAsia" w:ascii="宋体" w:hAnsi="宋体"/>
                <w:szCs w:val="21"/>
              </w:rPr>
              <w:t>E：电力工程技术咨询；资质范围内的电力工程（变电工程、送电工程）设计及其场所所涉及的环境管理活动</w:t>
            </w:r>
          </w:p>
          <w:p>
            <w:pPr>
              <w:rPr>
                <w:rFonts w:ascii="宋体" w:hAnsi="宋体"/>
                <w:szCs w:val="21"/>
              </w:rPr>
            </w:pPr>
            <w:r>
              <w:rPr>
                <w:rFonts w:hint="eastAsia" w:ascii="宋体" w:hAnsi="宋体"/>
                <w:szCs w:val="21"/>
              </w:rPr>
              <w:t>O：电力工程技术咨询；资质范围内的电力工程（变电工程、送电工程）设计及其场所所涉及的职业健康安全管理活动</w:t>
            </w:r>
            <w:bookmarkEnd w:id="7"/>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8" w:name="专业代码"/>
            <w:r>
              <w:rPr>
                <w:rFonts w:hint="eastAsia"/>
                <w:b/>
                <w:szCs w:val="21"/>
              </w:rPr>
              <w:t>Q：34.01.02</w:t>
            </w:r>
          </w:p>
          <w:p>
            <w:pPr>
              <w:rPr>
                <w:rFonts w:hint="eastAsia"/>
                <w:b/>
                <w:szCs w:val="21"/>
              </w:rPr>
            </w:pPr>
            <w:r>
              <w:rPr>
                <w:rFonts w:hint="eastAsia"/>
                <w:b/>
                <w:szCs w:val="21"/>
              </w:rPr>
              <w:t>E：34.01.02</w:t>
            </w:r>
          </w:p>
          <w:p>
            <w:pPr>
              <w:spacing w:line="280" w:lineRule="exact"/>
              <w:rPr>
                <w:rFonts w:ascii="宋体"/>
                <w:b/>
                <w:color w:val="000000"/>
                <w:sz w:val="20"/>
                <w:szCs w:val="20"/>
              </w:rPr>
            </w:pPr>
            <w:r>
              <w:rPr>
                <w:rFonts w:hint="eastAsia"/>
                <w:b/>
                <w:szCs w:val="21"/>
              </w:rPr>
              <w:t>O：34.01.02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w:t>
      </w:r>
      <w:r>
        <w:rPr>
          <w:rFonts w:hint="eastAsia" w:ascii="宋体" w:hAnsi="宋体"/>
          <w:b/>
          <w:color w:val="000000"/>
          <w:sz w:val="20"/>
          <w:szCs w:val="20"/>
          <w:u w:val="single"/>
          <w:lang w:eastAsia="zh-CN"/>
        </w:rPr>
        <w:t>技术部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技术咨询服务场所、电力工程设计场所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电力工程技术咨询；资质范围内的电力工程</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咨询服务、设计服务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技术部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r>
              <w:t>北京市海淀区羊坊店东路21号院1号楼601房间</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rPr>
                <w:rFonts w:hint="eastAsia"/>
                <w:color w:val="auto"/>
                <w:szCs w:val="21"/>
              </w:rPr>
            </w:pPr>
            <w:r>
              <w:rPr>
                <w:rFonts w:hint="eastAsia"/>
                <w:color w:val="auto"/>
                <w:szCs w:val="21"/>
              </w:rPr>
              <w:t>1）国家电网公司“两型一化”变电站、“两型三新”线路建设设计导则。</w:t>
            </w:r>
          </w:p>
          <w:p>
            <w:pPr>
              <w:rPr>
                <w:rFonts w:hint="eastAsia"/>
                <w:color w:val="auto"/>
                <w:szCs w:val="21"/>
              </w:rPr>
            </w:pPr>
            <w:r>
              <w:rPr>
                <w:rFonts w:hint="eastAsia"/>
                <w:color w:val="auto"/>
                <w:szCs w:val="21"/>
              </w:rPr>
              <w:t>（2）《国家电网公司输变电工程通用设计—35~110kV 智能变电站模块化建设施工图设计（2016 版）》。</w:t>
            </w:r>
          </w:p>
          <w:p>
            <w:pPr>
              <w:rPr>
                <w:rFonts w:hint="eastAsia"/>
                <w:color w:val="auto"/>
                <w:szCs w:val="21"/>
              </w:rPr>
            </w:pPr>
            <w:r>
              <w:rPr>
                <w:rFonts w:hint="eastAsia"/>
                <w:color w:val="auto"/>
                <w:szCs w:val="21"/>
              </w:rPr>
              <w:t>（3）国家电网科〔2011〕12 号《协调统一基建类和生产类标准差异条款》。</w:t>
            </w:r>
          </w:p>
          <w:p>
            <w:pPr>
              <w:rPr>
                <w:rFonts w:hint="eastAsia"/>
                <w:color w:val="auto"/>
                <w:szCs w:val="21"/>
              </w:rPr>
            </w:pPr>
            <w:r>
              <w:rPr>
                <w:rFonts w:hint="eastAsia"/>
                <w:color w:val="auto"/>
                <w:szCs w:val="21"/>
              </w:rPr>
              <w:t>（4）国家电网基建〔2011〕58 号文《国家电网公司 2011 年新建变电站设计补充规定》</w:t>
            </w:r>
          </w:p>
          <w:p>
            <w:pPr>
              <w:rPr>
                <w:rFonts w:hint="eastAsia"/>
                <w:color w:val="auto"/>
                <w:szCs w:val="21"/>
              </w:rPr>
            </w:pPr>
            <w:r>
              <w:rPr>
                <w:rFonts w:hint="eastAsia"/>
                <w:color w:val="auto"/>
                <w:szCs w:val="21"/>
              </w:rPr>
              <w:t>（5）国家电网科〔2010〕530 号文《智能变电站继电保护技术规范》。</w:t>
            </w:r>
          </w:p>
          <w:p>
            <w:pPr>
              <w:rPr>
                <w:rFonts w:hint="eastAsia"/>
                <w:color w:val="auto"/>
                <w:szCs w:val="21"/>
              </w:rPr>
            </w:pPr>
            <w:r>
              <w:rPr>
                <w:rFonts w:hint="eastAsia"/>
                <w:color w:val="auto"/>
                <w:szCs w:val="21"/>
              </w:rPr>
              <w:t>（6）国家电网基建〔2011〕539号文《智能变电站优化集成设计建设指导意见》。</w:t>
            </w:r>
          </w:p>
          <w:p>
            <w:pPr>
              <w:rPr>
                <w:rFonts w:hint="eastAsia"/>
                <w:color w:val="auto"/>
                <w:szCs w:val="21"/>
              </w:rPr>
            </w:pPr>
            <w:r>
              <w:rPr>
                <w:rFonts w:hint="eastAsia"/>
                <w:color w:val="auto"/>
                <w:szCs w:val="21"/>
              </w:rPr>
              <w:t>（7）国家电网公司调自〔2013〕185号文《国调中心关于印发变电站二次系统和设备有关研讨会纪要的通知》。</w:t>
            </w:r>
          </w:p>
          <w:p>
            <w:pPr>
              <w:rPr>
                <w:rFonts w:hint="eastAsia"/>
                <w:color w:val="auto"/>
                <w:szCs w:val="21"/>
              </w:rPr>
            </w:pPr>
            <w:r>
              <w:rPr>
                <w:rFonts w:hint="eastAsia"/>
                <w:color w:val="auto"/>
                <w:szCs w:val="21"/>
              </w:rPr>
              <w:t>（8）国家电网公司《110（66）kV～220kV智能变电站设计规范》（G/GDW 393-2009）。</w:t>
            </w:r>
          </w:p>
          <w:p>
            <w:pPr>
              <w:rPr>
                <w:rFonts w:hint="eastAsia"/>
                <w:color w:val="auto"/>
                <w:szCs w:val="21"/>
              </w:rPr>
            </w:pPr>
            <w:r>
              <w:rPr>
                <w:rFonts w:hint="eastAsia"/>
                <w:color w:val="auto"/>
                <w:szCs w:val="21"/>
              </w:rPr>
              <w:t>（9）冀北经研[2018]104号《国网冀北电力有限公司经济技术研究院关于冀北廊坊花科110kV输变电工程可行性研究报告的评审意见》。</w:t>
            </w:r>
          </w:p>
          <w:p>
            <w:pPr>
              <w:rPr>
                <w:rFonts w:ascii="宋体" w:hAnsi="宋体"/>
                <w:spacing w:val="-10"/>
                <w:sz w:val="20"/>
                <w:szCs w:val="20"/>
              </w:rPr>
            </w:pPr>
            <w:bookmarkStart w:id="9" w:name="_GoBack"/>
            <w:bookmarkEnd w:id="9"/>
          </w:p>
          <w:p>
            <w:pPr>
              <w:rPr>
                <w:rFonts w:ascii="宋体"/>
                <w:spacing w:val="-10"/>
                <w:sz w:val="20"/>
                <w:szCs w:val="20"/>
              </w:rPr>
            </w:pP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bCs/>
                <w:szCs w:val="22"/>
              </w:rPr>
            </w:pPr>
            <w:r>
              <w:rPr>
                <w:rFonts w:hint="eastAsia"/>
                <w:bCs/>
                <w:szCs w:val="22"/>
              </w:rPr>
              <w:t>电力工程设计流程</w:t>
            </w:r>
          </w:p>
          <w:p>
            <w:pPr>
              <w:rPr>
                <w:rFonts w:hint="eastAsia"/>
                <w:bCs/>
                <w:szCs w:val="22"/>
              </w:rPr>
            </w:pPr>
            <w:r>
              <w:rPr>
                <w:rFonts w:hint="eastAsia"/>
                <w:bCs/>
                <w:szCs w:val="22"/>
              </w:rPr>
              <w:t>设计策划（组成项目组、工程设计策划、工程设计开工会、方案策划、施工图专业策划）-设计接口（设计专业间接口）-设计输入-设计输出-设计校审-设计审查-设计完成</w:t>
            </w:r>
          </w:p>
          <w:p>
            <w:pPr>
              <w:rPr>
                <w:rFonts w:hint="eastAsia"/>
                <w:bCs/>
                <w:szCs w:val="22"/>
              </w:rPr>
            </w:pPr>
          </w:p>
          <w:p>
            <w:pPr>
              <w:rPr>
                <w:rFonts w:hint="eastAsia"/>
                <w:bCs/>
                <w:szCs w:val="22"/>
                <w:lang w:val="en-US" w:eastAsia="zh-CN"/>
              </w:rPr>
            </w:pPr>
            <w:r>
              <w:rPr>
                <w:rFonts w:hint="eastAsia"/>
                <w:bCs/>
                <w:szCs w:val="22"/>
              </w:rPr>
              <w:t>电力工程技术咨询</w:t>
            </w:r>
            <w:r>
              <w:rPr>
                <w:rFonts w:hint="eastAsia"/>
                <w:bCs/>
                <w:szCs w:val="22"/>
                <w:lang w:val="en-US" w:eastAsia="zh-CN"/>
              </w:rPr>
              <w:t>流程：</w:t>
            </w:r>
          </w:p>
          <w:p>
            <w:pPr>
              <w:rPr>
                <w:rFonts w:hint="eastAsia"/>
                <w:bCs/>
                <w:szCs w:val="22"/>
                <w:lang w:val="en-US" w:eastAsia="zh-CN"/>
              </w:rPr>
            </w:pPr>
            <w:r>
              <w:rPr>
                <w:rFonts w:hint="eastAsia"/>
                <w:bCs/>
                <w:szCs w:val="22"/>
                <w:lang w:val="en-US" w:eastAsia="zh-CN"/>
              </w:rPr>
              <w:t>组建团队—相业主收集资料（现场收集）现场勘测—梳理分析—编制可研报告或接入系统方案—审查—评审—批复</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bCs/>
                <w:szCs w:val="22"/>
              </w:rPr>
              <w:t>电力工程技术咨询</w:t>
            </w:r>
            <w:r>
              <w:rPr>
                <w:rFonts w:hint="eastAsia"/>
                <w:bCs/>
                <w:szCs w:val="22"/>
                <w:lang w:val="en-US" w:eastAsia="zh-CN"/>
              </w:rPr>
              <w:t>过程、电力工程设计过程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bCs/>
                <w:szCs w:val="22"/>
              </w:rPr>
              <w:t>电力工程技术咨询</w:t>
            </w:r>
            <w:r>
              <w:rPr>
                <w:rFonts w:hint="eastAsia" w:ascii="宋体" w:hAnsi="宋体"/>
                <w:b/>
                <w:bCs/>
              </w:rPr>
              <w:t>控制程序</w:t>
            </w:r>
            <w:r>
              <w:rPr>
                <w:rFonts w:hint="eastAsia"/>
                <w:bCs/>
                <w:szCs w:val="22"/>
                <w:lang w:val="en-US" w:eastAsia="zh-CN"/>
              </w:rPr>
              <w:t>、电力工程设计</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Cs/>
                <w:szCs w:val="22"/>
              </w:rPr>
              <w:t>电力工程技术咨询</w:t>
            </w:r>
            <w:r>
              <w:rPr>
                <w:rFonts w:hint="eastAsia"/>
                <w:bCs/>
                <w:szCs w:val="22"/>
                <w:lang w:val="en-US" w:eastAsia="zh-CN"/>
              </w:rPr>
              <w:t>过程、电力工程设计过程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u w:val="single"/>
                <w:lang w:val="en-US" w:eastAsia="zh-CN"/>
              </w:rPr>
              <w:t>5</w:t>
            </w:r>
            <w:r>
              <w:rPr>
                <w:rFonts w:ascii="宋体"/>
                <w:color w:val="000000"/>
                <w:sz w:val="20"/>
                <w:szCs w:val="20"/>
                <w:u w:val="single"/>
              </w:rPr>
              <w:t xml:space="preserve"> </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、管理层、综合部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bCs/>
              </w:rPr>
              <w:t>电力工程技术咨询</w:t>
            </w:r>
            <w:r>
              <w:rPr>
                <w:rFonts w:hint="eastAsia"/>
                <w:bCs/>
                <w:lang w:val="en-US" w:eastAsia="zh-CN"/>
              </w:rPr>
              <w:t>过程、电力工程设计过程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bCs/>
              </w:rPr>
              <w:t>技术咨询</w:t>
            </w:r>
            <w:r>
              <w:rPr>
                <w:rFonts w:hint="eastAsia" w:ascii="宋体" w:hAnsi="宋体"/>
                <w:b/>
                <w:color w:val="000000"/>
                <w:sz w:val="20"/>
                <w:szCs w:val="20"/>
              </w:rPr>
              <w:t>服务场所、</w:t>
            </w:r>
            <w:r>
              <w:rPr>
                <w:rFonts w:hint="eastAsia"/>
                <w:bCs/>
                <w:lang w:val="en-US" w:eastAsia="zh-CN"/>
              </w:rPr>
              <w:t>电力工程设计</w:t>
            </w:r>
            <w:r>
              <w:rPr>
                <w:rFonts w:hint="eastAsia" w:ascii="宋体" w:hAnsi="宋体"/>
                <w:b/>
                <w:color w:val="000000"/>
                <w:sz w:val="20"/>
                <w:szCs w:val="20"/>
              </w:rPr>
              <w:t>服务场所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bCs/>
              </w:rPr>
              <w:t>技术咨询</w:t>
            </w:r>
            <w:r>
              <w:rPr>
                <w:rFonts w:hint="eastAsia" w:ascii="宋体" w:hAnsi="宋体"/>
                <w:b/>
                <w:color w:val="000000"/>
                <w:sz w:val="20"/>
                <w:szCs w:val="20"/>
              </w:rPr>
              <w:t>服务场所、</w:t>
            </w:r>
            <w:r>
              <w:rPr>
                <w:rFonts w:hint="eastAsia"/>
                <w:bCs/>
                <w:lang w:val="en-US" w:eastAsia="zh-CN"/>
              </w:rPr>
              <w:t>电力工程设计</w:t>
            </w:r>
            <w:r>
              <w:rPr>
                <w:rFonts w:hint="eastAsia" w:ascii="宋体" w:hAnsi="宋体"/>
                <w:b/>
                <w:color w:val="000000"/>
                <w:sz w:val="20"/>
                <w:szCs w:val="20"/>
              </w:rPr>
              <w:t>服务场所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bCs/>
              </w:rPr>
              <w:t>技术咨询</w:t>
            </w:r>
            <w:r>
              <w:rPr>
                <w:rFonts w:hint="eastAsia" w:ascii="宋体" w:hAnsi="宋体"/>
                <w:b/>
                <w:color w:val="000000"/>
                <w:sz w:val="20"/>
                <w:szCs w:val="20"/>
              </w:rPr>
              <w:t>服务场所、</w:t>
            </w:r>
            <w:r>
              <w:rPr>
                <w:rFonts w:hint="eastAsia"/>
                <w:bCs/>
                <w:lang w:val="en-US" w:eastAsia="zh-CN"/>
              </w:rPr>
              <w:t>电力工程设计</w:t>
            </w:r>
            <w:r>
              <w:rPr>
                <w:rFonts w:hint="eastAsia" w:ascii="宋体" w:hAnsi="宋体"/>
                <w:b/>
                <w:color w:val="000000"/>
                <w:sz w:val="20"/>
                <w:szCs w:val="20"/>
              </w:rPr>
              <w:t>服务场所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12</w:t>
            </w:r>
            <w:r>
              <w:rPr>
                <w:rFonts w:hint="eastAsia" w:ascii="宋体" w:hAnsi="宋体"/>
                <w:b/>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lang w:val="en-US" w:eastAsia="zh-CN"/>
              </w:rPr>
              <w:t>2019.12.20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eastAsia="宋体" w:cs="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范围有变化，与组织最终确定二阶段范围是：</w:t>
      </w:r>
    </w:p>
    <w:p>
      <w:pPr>
        <w:rPr>
          <w:rFonts w:hint="eastAsia"/>
          <w:b/>
          <w:bCs/>
          <w:color w:val="000000"/>
          <w:szCs w:val="21"/>
        </w:rPr>
      </w:pPr>
      <w:r>
        <w:rPr>
          <w:rFonts w:hint="eastAsia" w:ascii="宋体" w:hAnsi="宋体"/>
          <w:b/>
          <w:bCs/>
          <w:szCs w:val="21"/>
        </w:rPr>
        <w:t>Q：电力工程技术咨询；资质范围内的电力工程设计</w:t>
      </w:r>
    </w:p>
    <w:p>
      <w:pPr>
        <w:rPr>
          <w:rFonts w:hint="eastAsia" w:ascii="宋体" w:hAnsi="宋体"/>
          <w:b/>
          <w:bCs/>
          <w:szCs w:val="21"/>
        </w:rPr>
      </w:pPr>
      <w:r>
        <w:rPr>
          <w:rFonts w:hint="eastAsia" w:ascii="宋体" w:hAnsi="宋体"/>
          <w:b/>
          <w:bCs/>
          <w:szCs w:val="21"/>
        </w:rPr>
        <w:t>E：电力工程技术咨询；资质范围内的电力工程设计及其场所所涉及的环境管理活动</w:t>
      </w:r>
    </w:p>
    <w:p>
      <w:pPr>
        <w:spacing w:before="156" w:beforeLines="50" w:after="62" w:afterLines="20" w:line="360" w:lineRule="exact"/>
        <w:ind w:firstLine="211" w:firstLineChars="100"/>
        <w:rPr>
          <w:rFonts w:hint="eastAsia" w:ascii="宋体" w:hAnsi="宋体"/>
          <w:b/>
          <w:bCs/>
          <w:szCs w:val="21"/>
        </w:rPr>
      </w:pPr>
      <w:r>
        <w:rPr>
          <w:rFonts w:hint="eastAsia" w:ascii="宋体" w:hAnsi="宋体"/>
          <w:b/>
          <w:bCs/>
          <w:szCs w:val="21"/>
        </w:rPr>
        <w:t>O：电力工程技术咨询；资质范围内的电力工程设计及其场所所涉及的职业健康安全管理活动</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szCs w:val="21"/>
        </w:rPr>
        <w:t xml:space="preserve"> </w:t>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5pt;width:71.25pt;" filled="f" o:preferrelative="t" stroked="f" coordsize="21600,21600">
            <v:path/>
            <v:fill on="f" focussize="0,0"/>
            <v:stroke on="f"/>
            <v:imagedata r:id="rId6"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19.95pt;width:71.25pt;" filled="f" o:preferrelative="t" stroked="f" coordsize="21600,21600">
            <v:path/>
            <v:fill on="f" focussize="0,0"/>
            <v:stroke on="f"/>
            <v:imagedata r:id="rId6"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北京京研电力工程设计有限公司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rFonts w:hint="default" w:eastAsia="宋体"/>
                <w:color w:val="000000"/>
                <w:sz w:val="24"/>
                <w:lang w:val="en-US" w:eastAsia="zh-CN"/>
              </w:rPr>
            </w:pPr>
            <w:r>
              <w:rPr>
                <w:rFonts w:hint="eastAsia"/>
                <w:color w:val="000000"/>
                <w:sz w:val="24"/>
                <w:lang w:val="en-US" w:eastAsia="zh-CN"/>
              </w:rPr>
              <w:t>无</w:t>
            </w:r>
          </w:p>
        </w:tc>
        <w:tc>
          <w:tcPr>
            <w:tcW w:w="1688" w:type="dxa"/>
          </w:tcPr>
          <w:p>
            <w:pPr>
              <w:pStyle w:val="5"/>
              <w:pBdr>
                <w:bottom w:val="none" w:color="auto" w:sz="0" w:space="0"/>
              </w:pBdr>
              <w:ind w:right="600"/>
              <w:jc w:val="left"/>
              <w:rPr>
                <w:rFonts w:hint="default" w:ascii="宋体" w:hAnsi="宋体" w:eastAsia="宋体"/>
                <w:bCs/>
                <w:spacing w:val="10"/>
                <w:sz w:val="21"/>
                <w:szCs w:val="21"/>
                <w:lang w:val="en-US" w:eastAsia="zh-CN"/>
              </w:rPr>
            </w:pPr>
          </w:p>
        </w:tc>
        <w:tc>
          <w:tcPr>
            <w:tcW w:w="1811" w:type="dxa"/>
          </w:tcPr>
          <w:p>
            <w:pPr>
              <w:pStyle w:val="5"/>
              <w:pBdr>
                <w:bottom w:val="none" w:color="auto" w:sz="0" w:space="0"/>
              </w:pBdr>
              <w:ind w:right="600"/>
              <w:jc w:val="left"/>
              <w:rPr>
                <w:rFonts w:hint="default" w:ascii="宋体" w:hAnsi="宋体"/>
                <w:bCs/>
                <w:spacing w:val="1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4</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20.4.7</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12D6052A"/>
    <w:rsid w:val="13AB5065"/>
    <w:rsid w:val="14C03380"/>
    <w:rsid w:val="1E2252C2"/>
    <w:rsid w:val="35E31947"/>
    <w:rsid w:val="36F10BB0"/>
    <w:rsid w:val="3BE052AD"/>
    <w:rsid w:val="44F27995"/>
    <w:rsid w:val="461836B2"/>
    <w:rsid w:val="49916B26"/>
    <w:rsid w:val="4E7F1263"/>
    <w:rsid w:val="50386DC6"/>
    <w:rsid w:val="560832DF"/>
    <w:rsid w:val="59000032"/>
    <w:rsid w:val="6CFC1B86"/>
    <w:rsid w:val="6F86667D"/>
    <w:rsid w:val="743556D8"/>
    <w:rsid w:val="7E267A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1320</Words>
  <Characters>7526</Characters>
  <Lines>62</Lines>
  <Paragraphs>17</Paragraphs>
  <TotalTime>3</TotalTime>
  <ScaleCrop>false</ScaleCrop>
  <LinksUpToDate>false</LinksUpToDate>
  <CharactersWithSpaces>8829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2020-04-07T12:26:53Z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