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四川好乡音超市有限公司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0420-2021-SA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2023年08月06日 下午至2023年08月06日 下午 (共0.5天)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